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C6BF2" w14:textId="719AA120" w:rsidR="002E71BE" w:rsidRDefault="002E71BE" w:rsidP="002E71BE">
      <w:pPr>
        <w:spacing w:line="480" w:lineRule="auto"/>
        <w:rPr>
          <w:rFonts w:ascii="Arial" w:hAnsi="Arial" w:cs="Arial"/>
          <w:b/>
          <w:bCs/>
          <w:szCs w:val="24"/>
        </w:rPr>
      </w:pPr>
      <w:r>
        <w:rPr>
          <w:rFonts w:ascii="Arial" w:hAnsi="Arial" w:cs="Arial"/>
          <w:b/>
          <w:bCs/>
          <w:szCs w:val="24"/>
        </w:rPr>
        <w:t>SUPPLEMENTAL MATERIALS</w:t>
      </w:r>
    </w:p>
    <w:p w14:paraId="1FD7B6B9" w14:textId="77777777" w:rsidR="002E71BE" w:rsidRDefault="002E71BE" w:rsidP="002E71BE">
      <w:pPr>
        <w:spacing w:line="480" w:lineRule="auto"/>
        <w:rPr>
          <w:rFonts w:ascii="Arial" w:hAnsi="Arial" w:cs="Arial"/>
          <w:b/>
          <w:bCs/>
          <w:szCs w:val="24"/>
        </w:rPr>
      </w:pPr>
    </w:p>
    <w:p w14:paraId="596C44AC" w14:textId="41CA38C3" w:rsidR="002E71BE" w:rsidRDefault="002E71BE" w:rsidP="002E71BE">
      <w:pPr>
        <w:spacing w:line="480" w:lineRule="auto"/>
        <w:rPr>
          <w:rFonts w:ascii="Arial" w:hAnsi="Arial" w:cs="Arial"/>
          <w:b/>
          <w:bCs/>
          <w:szCs w:val="24"/>
        </w:rPr>
      </w:pPr>
      <w:r>
        <w:rPr>
          <w:rFonts w:ascii="Arial" w:hAnsi="Arial" w:cs="Arial"/>
          <w:b/>
          <w:bCs/>
          <w:szCs w:val="24"/>
        </w:rPr>
        <w:t>Analysis of a mouse germ cell tumor model establishes pluripotency-associated miRNAs as conserved serum biomarkers for germ cell cancer detection</w:t>
      </w:r>
    </w:p>
    <w:p w14:paraId="299359F2" w14:textId="77777777" w:rsidR="002E71BE" w:rsidRPr="000C1079" w:rsidRDefault="002E71BE" w:rsidP="002E71BE">
      <w:pPr>
        <w:spacing w:line="480" w:lineRule="auto"/>
        <w:rPr>
          <w:rFonts w:ascii="Arial" w:hAnsi="Arial" w:cs="Arial"/>
          <w:b/>
          <w:bCs/>
          <w:szCs w:val="24"/>
        </w:rPr>
      </w:pPr>
    </w:p>
    <w:p w14:paraId="14EE5C21" w14:textId="692B24D0" w:rsidR="002E71BE" w:rsidRDefault="002E71BE" w:rsidP="002E71BE">
      <w:pPr>
        <w:spacing w:line="480" w:lineRule="auto"/>
        <w:rPr>
          <w:rFonts w:ascii="Arial" w:hAnsi="Arial" w:cs="Arial"/>
          <w:szCs w:val="24"/>
          <w:vertAlign w:val="superscript"/>
        </w:rPr>
      </w:pPr>
      <w:r w:rsidRPr="00F50DB2">
        <w:rPr>
          <w:rFonts w:ascii="Arial" w:hAnsi="Arial" w:cs="Arial"/>
          <w:szCs w:val="24"/>
        </w:rPr>
        <w:t>Amanda R. Loehr</w:t>
      </w:r>
      <w:r>
        <w:rPr>
          <w:rFonts w:ascii="Arial" w:hAnsi="Arial" w:cs="Arial"/>
          <w:szCs w:val="24"/>
          <w:vertAlign w:val="superscript"/>
        </w:rPr>
        <w:t>1</w:t>
      </w:r>
      <w:r w:rsidRPr="00F50DB2">
        <w:rPr>
          <w:rFonts w:ascii="Arial" w:hAnsi="Arial" w:cs="Arial"/>
          <w:szCs w:val="24"/>
        </w:rPr>
        <w:t>, Dennis M. Timmerman</w:t>
      </w:r>
      <w:r>
        <w:rPr>
          <w:rFonts w:ascii="Arial" w:hAnsi="Arial" w:cs="Arial"/>
          <w:szCs w:val="24"/>
          <w:vertAlign w:val="superscript"/>
        </w:rPr>
        <w:t>2</w:t>
      </w:r>
      <w:r w:rsidRPr="00F50DB2">
        <w:rPr>
          <w:rFonts w:ascii="Arial" w:hAnsi="Arial" w:cs="Arial"/>
          <w:szCs w:val="24"/>
        </w:rPr>
        <w:t>, Michelle Liu</w:t>
      </w:r>
      <w:r>
        <w:rPr>
          <w:rFonts w:ascii="Arial" w:hAnsi="Arial" w:cs="Arial"/>
          <w:szCs w:val="24"/>
          <w:vertAlign w:val="superscript"/>
        </w:rPr>
        <w:t>1</w:t>
      </w:r>
      <w:r>
        <w:rPr>
          <w:rFonts w:ascii="Arial" w:hAnsi="Arial" w:cs="Arial"/>
          <w:szCs w:val="24"/>
        </w:rPr>
        <w:t>,</w:t>
      </w:r>
      <w:r>
        <w:rPr>
          <w:rFonts w:ascii="Arial" w:hAnsi="Arial" w:cs="Arial"/>
          <w:szCs w:val="24"/>
          <w:vertAlign w:val="superscript"/>
        </w:rPr>
        <w:t xml:space="preserve"> </w:t>
      </w:r>
      <w:r w:rsidRPr="00F50DB2">
        <w:rPr>
          <w:rFonts w:ascii="Arial" w:hAnsi="Arial" w:cs="Arial"/>
          <w:szCs w:val="24"/>
        </w:rPr>
        <w:t>Ad J.M. Gillis</w:t>
      </w:r>
      <w:r>
        <w:rPr>
          <w:rFonts w:ascii="Arial" w:hAnsi="Arial" w:cs="Arial"/>
          <w:szCs w:val="24"/>
          <w:vertAlign w:val="superscript"/>
        </w:rPr>
        <w:t>2</w:t>
      </w:r>
      <w:r w:rsidRPr="00F50DB2">
        <w:rPr>
          <w:rFonts w:ascii="Arial" w:hAnsi="Arial" w:cs="Arial"/>
          <w:szCs w:val="24"/>
        </w:rPr>
        <w:t>, Melia Matthews</w:t>
      </w:r>
      <w:r>
        <w:rPr>
          <w:rFonts w:ascii="Arial" w:hAnsi="Arial" w:cs="Arial"/>
          <w:szCs w:val="24"/>
          <w:vertAlign w:val="superscript"/>
        </w:rPr>
        <w:t>1</w:t>
      </w:r>
      <w:r w:rsidRPr="00F50DB2">
        <w:rPr>
          <w:rFonts w:ascii="Arial" w:hAnsi="Arial" w:cs="Arial"/>
          <w:szCs w:val="24"/>
        </w:rPr>
        <w:t>, Jordana</w:t>
      </w:r>
      <w:r>
        <w:rPr>
          <w:rFonts w:ascii="Arial" w:hAnsi="Arial" w:cs="Arial"/>
          <w:szCs w:val="24"/>
        </w:rPr>
        <w:t xml:space="preserve"> C.</w:t>
      </w:r>
      <w:r w:rsidRPr="00F50DB2">
        <w:rPr>
          <w:rFonts w:ascii="Arial" w:hAnsi="Arial" w:cs="Arial"/>
          <w:szCs w:val="24"/>
        </w:rPr>
        <w:t xml:space="preserve"> Bloom</w:t>
      </w:r>
      <w:r>
        <w:rPr>
          <w:rFonts w:ascii="Arial" w:hAnsi="Arial" w:cs="Arial"/>
          <w:szCs w:val="24"/>
          <w:vertAlign w:val="superscript"/>
        </w:rPr>
        <w:t>3</w:t>
      </w:r>
      <w:r w:rsidRPr="00F50DB2">
        <w:rPr>
          <w:rFonts w:ascii="Arial" w:hAnsi="Arial" w:cs="Arial"/>
          <w:szCs w:val="24"/>
        </w:rPr>
        <w:t xml:space="preserve">, </w:t>
      </w:r>
      <w:r>
        <w:rPr>
          <w:rFonts w:ascii="Arial" w:hAnsi="Arial" w:cs="Arial"/>
          <w:szCs w:val="24"/>
        </w:rPr>
        <w:t>Peter K. Nicholls</w:t>
      </w:r>
      <w:r w:rsidR="00FB2BAC">
        <w:rPr>
          <w:rFonts w:ascii="Arial" w:hAnsi="Arial" w:cs="Arial"/>
          <w:szCs w:val="24"/>
          <w:vertAlign w:val="superscript"/>
        </w:rPr>
        <w:t>4</w:t>
      </w:r>
      <w:r>
        <w:rPr>
          <w:rFonts w:ascii="Arial" w:hAnsi="Arial" w:cs="Arial"/>
          <w:szCs w:val="24"/>
        </w:rPr>
        <w:t xml:space="preserve">, </w:t>
      </w:r>
      <w:r w:rsidRPr="00F50DB2">
        <w:rPr>
          <w:rFonts w:ascii="Arial" w:hAnsi="Arial" w:cs="Arial"/>
          <w:szCs w:val="24"/>
        </w:rPr>
        <w:t xml:space="preserve">David </w:t>
      </w:r>
      <w:r>
        <w:rPr>
          <w:rFonts w:ascii="Arial" w:hAnsi="Arial" w:cs="Arial"/>
          <w:szCs w:val="24"/>
        </w:rPr>
        <w:t xml:space="preserve">C. </w:t>
      </w:r>
      <w:r w:rsidRPr="00F50DB2">
        <w:rPr>
          <w:rFonts w:ascii="Arial" w:hAnsi="Arial" w:cs="Arial"/>
          <w:szCs w:val="24"/>
        </w:rPr>
        <w:t>Page</w:t>
      </w:r>
      <w:r>
        <w:rPr>
          <w:rFonts w:ascii="Arial" w:hAnsi="Arial" w:cs="Arial"/>
          <w:szCs w:val="24"/>
          <w:vertAlign w:val="superscript"/>
        </w:rPr>
        <w:t>3,5</w:t>
      </w:r>
      <w:r w:rsidR="00FB2BAC">
        <w:rPr>
          <w:rFonts w:ascii="Arial" w:hAnsi="Arial" w:cs="Arial"/>
          <w:szCs w:val="24"/>
          <w:vertAlign w:val="superscript"/>
        </w:rPr>
        <w:t>,6</w:t>
      </w:r>
      <w:r w:rsidRPr="00F50DB2">
        <w:rPr>
          <w:rFonts w:ascii="Arial" w:hAnsi="Arial" w:cs="Arial"/>
          <w:szCs w:val="24"/>
        </w:rPr>
        <w:t>, Andrew D. Miller</w:t>
      </w:r>
      <w:r>
        <w:rPr>
          <w:rFonts w:ascii="Arial" w:hAnsi="Arial" w:cs="Arial"/>
          <w:szCs w:val="24"/>
          <w:vertAlign w:val="superscript"/>
        </w:rPr>
        <w:t>1</w:t>
      </w:r>
      <w:r w:rsidRPr="00F50DB2">
        <w:rPr>
          <w:rFonts w:ascii="Arial" w:hAnsi="Arial" w:cs="Arial"/>
          <w:szCs w:val="24"/>
        </w:rPr>
        <w:t>, Leendert H.J. Looijenga</w:t>
      </w:r>
      <w:r>
        <w:rPr>
          <w:rFonts w:ascii="Arial" w:hAnsi="Arial" w:cs="Arial"/>
          <w:szCs w:val="24"/>
          <w:vertAlign w:val="superscript"/>
        </w:rPr>
        <w:t>2,</w:t>
      </w:r>
      <w:proofErr w:type="gramStart"/>
      <w:r w:rsidR="00FB2BAC">
        <w:rPr>
          <w:rFonts w:ascii="Arial" w:hAnsi="Arial" w:cs="Arial"/>
          <w:szCs w:val="24"/>
          <w:vertAlign w:val="superscript"/>
        </w:rPr>
        <w:t>7</w:t>
      </w:r>
      <w:r w:rsidR="00B14ACC">
        <w:rPr>
          <w:rFonts w:ascii="Arial" w:hAnsi="Arial" w:cs="Arial"/>
          <w:szCs w:val="24"/>
          <w:vertAlign w:val="superscript"/>
        </w:rPr>
        <w:t>,</w:t>
      </w:r>
      <w:r>
        <w:rPr>
          <w:rFonts w:ascii="Arial" w:hAnsi="Arial" w:cs="Arial"/>
          <w:szCs w:val="24"/>
          <w:vertAlign w:val="superscript"/>
        </w:rPr>
        <w:t>*</w:t>
      </w:r>
      <w:proofErr w:type="gramEnd"/>
      <w:r w:rsidRPr="00F50DB2">
        <w:rPr>
          <w:rFonts w:ascii="Arial" w:hAnsi="Arial" w:cs="Arial"/>
          <w:szCs w:val="24"/>
        </w:rPr>
        <w:t xml:space="preserve">, </w:t>
      </w:r>
      <w:r>
        <w:rPr>
          <w:rFonts w:ascii="Arial" w:hAnsi="Arial" w:cs="Arial"/>
          <w:szCs w:val="24"/>
        </w:rPr>
        <w:t xml:space="preserve">and </w:t>
      </w:r>
      <w:r w:rsidRPr="00F50DB2">
        <w:rPr>
          <w:rFonts w:ascii="Arial" w:hAnsi="Arial" w:cs="Arial"/>
          <w:szCs w:val="24"/>
        </w:rPr>
        <w:t>Robert S. Weiss</w:t>
      </w:r>
      <w:r>
        <w:rPr>
          <w:rFonts w:ascii="Arial" w:hAnsi="Arial" w:cs="Arial"/>
          <w:szCs w:val="24"/>
          <w:vertAlign w:val="superscript"/>
        </w:rPr>
        <w:t>1,*</w:t>
      </w:r>
    </w:p>
    <w:p w14:paraId="17510ED8" w14:textId="77777777" w:rsidR="002E71BE" w:rsidRDefault="002E71BE" w:rsidP="002E71BE">
      <w:pPr>
        <w:spacing w:line="480" w:lineRule="auto"/>
        <w:rPr>
          <w:rFonts w:ascii="Arial" w:hAnsi="Arial" w:cs="Arial"/>
          <w:szCs w:val="24"/>
        </w:rPr>
      </w:pPr>
    </w:p>
    <w:p w14:paraId="1BB3386E" w14:textId="77777777" w:rsidR="002E71BE" w:rsidRDefault="002E71BE" w:rsidP="002E71BE">
      <w:pPr>
        <w:spacing w:line="480" w:lineRule="auto"/>
        <w:rPr>
          <w:rFonts w:ascii="Arial" w:hAnsi="Arial" w:cs="Arial"/>
          <w:szCs w:val="24"/>
        </w:rPr>
      </w:pPr>
      <w:r w:rsidRPr="008C67ED">
        <w:rPr>
          <w:rFonts w:ascii="Arial" w:hAnsi="Arial" w:cs="Arial"/>
          <w:szCs w:val="24"/>
          <w:vertAlign w:val="superscript"/>
        </w:rPr>
        <w:t>1</w:t>
      </w:r>
      <w:r>
        <w:rPr>
          <w:rFonts w:ascii="Arial" w:hAnsi="Arial" w:cs="Arial"/>
          <w:szCs w:val="24"/>
        </w:rPr>
        <w:t xml:space="preserve"> Department of Biomedical Sciences, Cornell University College of Veterinary Medicine, Ithaca, NY</w:t>
      </w:r>
    </w:p>
    <w:p w14:paraId="4588A422" w14:textId="77777777" w:rsidR="002E71BE" w:rsidRDefault="002E71BE" w:rsidP="002E71BE">
      <w:pPr>
        <w:spacing w:line="480" w:lineRule="auto"/>
        <w:rPr>
          <w:rFonts w:ascii="Arial" w:hAnsi="Arial" w:cs="Arial"/>
          <w:szCs w:val="24"/>
        </w:rPr>
      </w:pPr>
      <w:r w:rsidRPr="008C67ED">
        <w:rPr>
          <w:rFonts w:ascii="Arial" w:hAnsi="Arial" w:cs="Arial"/>
          <w:szCs w:val="24"/>
          <w:vertAlign w:val="superscript"/>
        </w:rPr>
        <w:t>2</w:t>
      </w:r>
      <w:r>
        <w:rPr>
          <w:rFonts w:ascii="Arial" w:hAnsi="Arial" w:cs="Arial"/>
          <w:szCs w:val="24"/>
        </w:rPr>
        <w:t xml:space="preserve"> Princess M</w:t>
      </w:r>
      <w:r w:rsidRPr="004A67D6">
        <w:rPr>
          <w:rFonts w:ascii="Arial" w:hAnsi="Arial" w:cs="Arial"/>
          <w:szCs w:val="24"/>
        </w:rPr>
        <w:t>á</w:t>
      </w:r>
      <w:r>
        <w:rPr>
          <w:rFonts w:ascii="Arial" w:hAnsi="Arial" w:cs="Arial"/>
          <w:szCs w:val="24"/>
        </w:rPr>
        <w:t xml:space="preserve">xima Center for Pediatric Oncology, Utrecht, Netherlands </w:t>
      </w:r>
    </w:p>
    <w:p w14:paraId="260D93D4" w14:textId="77777777" w:rsidR="002E71BE" w:rsidRDefault="002E71BE" w:rsidP="002E71BE">
      <w:pPr>
        <w:spacing w:line="480" w:lineRule="auto"/>
        <w:rPr>
          <w:rFonts w:ascii="Arial" w:hAnsi="Arial" w:cs="Arial"/>
          <w:szCs w:val="24"/>
        </w:rPr>
      </w:pPr>
      <w:r w:rsidRPr="008C67ED">
        <w:rPr>
          <w:rFonts w:ascii="Arial" w:hAnsi="Arial" w:cs="Arial"/>
          <w:szCs w:val="24"/>
          <w:vertAlign w:val="superscript"/>
        </w:rPr>
        <w:t>3</w:t>
      </w:r>
      <w:r>
        <w:rPr>
          <w:rFonts w:ascii="Arial" w:hAnsi="Arial" w:cs="Arial"/>
          <w:szCs w:val="24"/>
        </w:rPr>
        <w:t xml:space="preserve"> Whitehead Institute, Cambridge, MA </w:t>
      </w:r>
    </w:p>
    <w:p w14:paraId="2347DF0B" w14:textId="459A7ECC" w:rsidR="00FB2BAC" w:rsidRDefault="002E71BE" w:rsidP="002E71BE">
      <w:pPr>
        <w:spacing w:line="480" w:lineRule="auto"/>
        <w:rPr>
          <w:rFonts w:ascii="Arial" w:hAnsi="Arial" w:cs="Arial"/>
          <w:szCs w:val="24"/>
        </w:rPr>
      </w:pPr>
      <w:r w:rsidRPr="008C67ED">
        <w:rPr>
          <w:rFonts w:ascii="Arial" w:hAnsi="Arial" w:cs="Arial"/>
          <w:szCs w:val="24"/>
          <w:vertAlign w:val="superscript"/>
        </w:rPr>
        <w:t>4</w:t>
      </w:r>
      <w:r>
        <w:rPr>
          <w:rFonts w:ascii="Arial" w:hAnsi="Arial" w:cs="Arial"/>
          <w:szCs w:val="24"/>
        </w:rPr>
        <w:t xml:space="preserve"> </w:t>
      </w:r>
      <w:r w:rsidR="00FB2BAC" w:rsidRPr="00265346">
        <w:rPr>
          <w:rFonts w:ascii="Arial" w:hAnsi="Arial" w:cs="Arial"/>
          <w:szCs w:val="24"/>
        </w:rPr>
        <w:t>Faculty of Life Sciences, University of Bradford, Bradford, United Kingdom</w:t>
      </w:r>
    </w:p>
    <w:p w14:paraId="71ECFFEF" w14:textId="3A73FB13" w:rsidR="002E71BE" w:rsidRDefault="00FB2BAC" w:rsidP="002E71BE">
      <w:pPr>
        <w:spacing w:line="480" w:lineRule="auto"/>
        <w:rPr>
          <w:rFonts w:ascii="Arial" w:hAnsi="Arial" w:cs="Arial"/>
          <w:szCs w:val="24"/>
        </w:rPr>
      </w:pPr>
      <w:r>
        <w:rPr>
          <w:rFonts w:ascii="Arial" w:hAnsi="Arial" w:cs="Arial"/>
          <w:szCs w:val="24"/>
          <w:vertAlign w:val="superscript"/>
        </w:rPr>
        <w:t>5</w:t>
      </w:r>
      <w:r>
        <w:rPr>
          <w:rFonts w:ascii="Arial" w:hAnsi="Arial" w:cs="Arial"/>
          <w:szCs w:val="24"/>
        </w:rPr>
        <w:t xml:space="preserve"> </w:t>
      </w:r>
      <w:r w:rsidR="002E71BE">
        <w:rPr>
          <w:rFonts w:ascii="Arial" w:hAnsi="Arial" w:cs="Arial"/>
          <w:szCs w:val="24"/>
        </w:rPr>
        <w:t xml:space="preserve">Howard Hughes Medical Institute, Whitehead Institute, Cambridge, MA </w:t>
      </w:r>
    </w:p>
    <w:p w14:paraId="2C235E73" w14:textId="4D7BDCDF" w:rsidR="002E71BE" w:rsidRDefault="00FB2BAC" w:rsidP="002E71BE">
      <w:pPr>
        <w:spacing w:line="480" w:lineRule="auto"/>
        <w:rPr>
          <w:rFonts w:ascii="Arial" w:hAnsi="Arial" w:cs="Arial"/>
          <w:szCs w:val="24"/>
        </w:rPr>
      </w:pPr>
      <w:r>
        <w:rPr>
          <w:rFonts w:ascii="Arial" w:hAnsi="Arial" w:cs="Arial"/>
          <w:szCs w:val="24"/>
          <w:vertAlign w:val="superscript"/>
        </w:rPr>
        <w:t>6</w:t>
      </w:r>
      <w:r>
        <w:rPr>
          <w:rFonts w:ascii="Arial" w:hAnsi="Arial" w:cs="Arial"/>
          <w:szCs w:val="24"/>
        </w:rPr>
        <w:t xml:space="preserve"> </w:t>
      </w:r>
      <w:r w:rsidR="002E71BE">
        <w:rPr>
          <w:rFonts w:ascii="Arial" w:hAnsi="Arial" w:cs="Arial"/>
          <w:szCs w:val="24"/>
        </w:rPr>
        <w:t>Department of Biology, Massachusetts Institute of Technology, Cambridge, MA</w:t>
      </w:r>
    </w:p>
    <w:p w14:paraId="75F4E4C5" w14:textId="23D5326D" w:rsidR="00B14ACC" w:rsidRDefault="00FB2BAC" w:rsidP="002E71BE">
      <w:pPr>
        <w:spacing w:line="480" w:lineRule="auto"/>
        <w:rPr>
          <w:rFonts w:ascii="Arial" w:hAnsi="Arial" w:cs="Arial"/>
          <w:szCs w:val="24"/>
        </w:rPr>
      </w:pPr>
      <w:r>
        <w:rPr>
          <w:rFonts w:ascii="Arial" w:hAnsi="Arial" w:cs="Arial"/>
          <w:szCs w:val="24"/>
          <w:vertAlign w:val="superscript"/>
        </w:rPr>
        <w:t>7</w:t>
      </w:r>
      <w:r w:rsidR="00B14ACC">
        <w:rPr>
          <w:rFonts w:ascii="Arial" w:hAnsi="Arial" w:cs="Arial"/>
          <w:szCs w:val="24"/>
        </w:rPr>
        <w:t xml:space="preserve"> Department of Pathology, University Medical Center, Utrecht, Netherlands </w:t>
      </w:r>
    </w:p>
    <w:p w14:paraId="63EB2789" w14:textId="77777777" w:rsidR="002E71BE" w:rsidRDefault="002E71BE" w:rsidP="002E71BE">
      <w:pPr>
        <w:spacing w:line="480" w:lineRule="auto"/>
        <w:rPr>
          <w:rFonts w:ascii="Arial" w:hAnsi="Arial" w:cs="Arial"/>
          <w:szCs w:val="24"/>
          <w:vertAlign w:val="superscript"/>
        </w:rPr>
      </w:pPr>
    </w:p>
    <w:p w14:paraId="13B5273C" w14:textId="77777777" w:rsidR="002E71BE" w:rsidRDefault="002E71BE" w:rsidP="002E71BE">
      <w:pPr>
        <w:spacing w:line="480" w:lineRule="auto"/>
        <w:rPr>
          <w:rFonts w:ascii="Arial" w:hAnsi="Arial" w:cs="Arial"/>
          <w:szCs w:val="24"/>
        </w:rPr>
      </w:pPr>
      <w:r>
        <w:rPr>
          <w:rFonts w:ascii="Arial" w:hAnsi="Arial" w:cs="Arial"/>
          <w:szCs w:val="24"/>
        </w:rPr>
        <w:t>*corresponding authors (</w:t>
      </w:r>
      <w:r w:rsidRPr="00E23F3D">
        <w:rPr>
          <w:rFonts w:ascii="Arial" w:hAnsi="Arial" w:cs="Arial"/>
          <w:szCs w:val="24"/>
        </w:rPr>
        <w:t>l.looijenga@prinsesmaximacentrum.nl</w:t>
      </w:r>
      <w:r>
        <w:rPr>
          <w:rFonts w:ascii="Arial" w:hAnsi="Arial" w:cs="Arial"/>
          <w:szCs w:val="24"/>
        </w:rPr>
        <w:t>, rsw26@cornell.edu)</w:t>
      </w:r>
    </w:p>
    <w:p w14:paraId="2BFC82FC" w14:textId="76402359" w:rsidR="00715FFF" w:rsidRDefault="00715FFF" w:rsidP="002E71BE">
      <w:pPr>
        <w:spacing w:line="480" w:lineRule="auto"/>
      </w:pPr>
      <w:r>
        <w:br w:type="page"/>
      </w:r>
    </w:p>
    <w:p w14:paraId="4E91B19D" w14:textId="44E22D3B" w:rsidR="000F404A" w:rsidRPr="000C1079" w:rsidRDefault="000F404A" w:rsidP="00D26B5A">
      <w:pPr>
        <w:pStyle w:val="List"/>
        <w:jc w:val="both"/>
        <w:rPr>
          <w:rFonts w:ascii="Arial" w:hAnsi="Arial" w:cs="Arial"/>
          <w:szCs w:val="24"/>
        </w:rPr>
      </w:pPr>
      <w:bookmarkStart w:id="0" w:name="_Toc119674257"/>
      <w:r>
        <w:rPr>
          <w:rFonts w:ascii="Arial" w:hAnsi="Arial" w:cs="Arial"/>
          <w:b/>
          <w:bCs/>
          <w:szCs w:val="24"/>
        </w:rPr>
        <w:lastRenderedPageBreak/>
        <w:t>Supplemental T</w:t>
      </w:r>
      <w:r w:rsidRPr="000C1079">
        <w:rPr>
          <w:rFonts w:ascii="Arial" w:hAnsi="Arial" w:cs="Arial"/>
          <w:b/>
          <w:bCs/>
          <w:szCs w:val="24"/>
        </w:rPr>
        <w:t>able 1.</w:t>
      </w:r>
      <w:r w:rsidRPr="000C1079">
        <w:rPr>
          <w:rFonts w:ascii="Arial" w:hAnsi="Arial" w:cs="Arial"/>
          <w:szCs w:val="24"/>
        </w:rPr>
        <w:t xml:space="preserve"> Genes that were experimentally proven to be direct targets of the miR-290-295 cluster and their associated publication.</w:t>
      </w:r>
      <w:bookmarkEnd w:id="0"/>
    </w:p>
    <w:tbl>
      <w:tblPr>
        <w:tblStyle w:val="GridTable1Light"/>
        <w:tblW w:w="0" w:type="auto"/>
        <w:tblLook w:val="04A0" w:firstRow="1" w:lastRow="0" w:firstColumn="1" w:lastColumn="0" w:noHBand="0" w:noVBand="1"/>
      </w:tblPr>
      <w:tblGrid>
        <w:gridCol w:w="2297"/>
        <w:gridCol w:w="3570"/>
      </w:tblGrid>
      <w:tr w:rsidR="000F404A" w:rsidRPr="000C1079" w14:paraId="684F9006" w14:textId="77777777" w:rsidTr="00407D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57A6D5" w14:textId="77777777" w:rsidR="000F404A" w:rsidRPr="000C1079" w:rsidRDefault="000F404A" w:rsidP="00407D16">
            <w:pPr>
              <w:spacing w:line="360" w:lineRule="auto"/>
              <w:rPr>
                <w:rFonts w:ascii="Arial" w:hAnsi="Arial" w:cs="Arial"/>
                <w:szCs w:val="24"/>
              </w:rPr>
            </w:pPr>
            <w:r w:rsidRPr="000C1079">
              <w:rPr>
                <w:rFonts w:ascii="Arial" w:hAnsi="Arial" w:cs="Arial"/>
                <w:szCs w:val="24"/>
              </w:rPr>
              <w:t>Mouse gene name</w:t>
            </w:r>
          </w:p>
        </w:tc>
        <w:tc>
          <w:tcPr>
            <w:tcW w:w="0" w:type="auto"/>
            <w:noWrap/>
            <w:vAlign w:val="center"/>
            <w:hideMark/>
          </w:tcPr>
          <w:p w14:paraId="2BA80834" w14:textId="77777777" w:rsidR="000F404A" w:rsidRPr="000C1079" w:rsidRDefault="000F404A" w:rsidP="00407D16">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Reference</w:t>
            </w:r>
          </w:p>
        </w:tc>
      </w:tr>
      <w:tr w:rsidR="000F404A" w:rsidRPr="000C1079" w14:paraId="58EBDC2C"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552DEA" w14:textId="77777777" w:rsidR="000F404A" w:rsidRPr="00340F8F" w:rsidRDefault="000F404A" w:rsidP="00407D16">
            <w:pPr>
              <w:spacing w:line="360" w:lineRule="auto"/>
              <w:rPr>
                <w:rFonts w:ascii="Arial" w:hAnsi="Arial" w:cs="Arial"/>
                <w:i/>
                <w:iCs/>
                <w:szCs w:val="24"/>
              </w:rPr>
            </w:pPr>
            <w:r w:rsidRPr="00340F8F">
              <w:rPr>
                <w:rFonts w:ascii="Arial" w:hAnsi="Arial" w:cs="Arial"/>
                <w:i/>
                <w:iCs/>
                <w:szCs w:val="24"/>
              </w:rPr>
              <w:t>Tgfbr2</w:t>
            </w:r>
          </w:p>
        </w:tc>
        <w:tc>
          <w:tcPr>
            <w:tcW w:w="0" w:type="auto"/>
            <w:vAlign w:val="center"/>
            <w:hideMark/>
          </w:tcPr>
          <w:p w14:paraId="11CF4DE4" w14:textId="658B83D0" w:rsidR="000F404A" w:rsidRPr="00B62418" w:rsidRDefault="000F404A"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vertAlign w:val="superscript"/>
              </w:rPr>
            </w:pPr>
            <w:r w:rsidRPr="000C1079">
              <w:rPr>
                <w:rFonts w:ascii="Arial" w:hAnsi="Arial" w:cs="Arial"/>
                <w:szCs w:val="24"/>
              </w:rPr>
              <w:t>Guo et al. 2015</w:t>
            </w:r>
            <w:r w:rsidR="00B62418">
              <w:rPr>
                <w:rFonts w:ascii="Arial" w:hAnsi="Arial" w:cs="Arial"/>
                <w:szCs w:val="24"/>
                <w:vertAlign w:val="superscript"/>
              </w:rPr>
              <w:t>36</w:t>
            </w:r>
          </w:p>
        </w:tc>
      </w:tr>
      <w:tr w:rsidR="000F404A" w:rsidRPr="000C1079" w14:paraId="46A7BD74"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6A7499" w14:textId="77777777" w:rsidR="000F404A" w:rsidRPr="00340F8F" w:rsidRDefault="000F404A" w:rsidP="00407D16">
            <w:pPr>
              <w:spacing w:line="360" w:lineRule="auto"/>
              <w:rPr>
                <w:rFonts w:ascii="Arial" w:hAnsi="Arial" w:cs="Arial"/>
                <w:i/>
                <w:iCs/>
                <w:szCs w:val="24"/>
              </w:rPr>
            </w:pPr>
            <w:r w:rsidRPr="00340F8F">
              <w:rPr>
                <w:rFonts w:ascii="Arial" w:hAnsi="Arial" w:cs="Arial"/>
                <w:i/>
                <w:iCs/>
                <w:szCs w:val="24"/>
              </w:rPr>
              <w:t>Gsk3b</w:t>
            </w:r>
          </w:p>
        </w:tc>
        <w:tc>
          <w:tcPr>
            <w:tcW w:w="0" w:type="auto"/>
            <w:vAlign w:val="center"/>
            <w:hideMark/>
          </w:tcPr>
          <w:p w14:paraId="6E081202" w14:textId="2C888432" w:rsidR="000F404A" w:rsidRPr="000C1079" w:rsidRDefault="00B62418"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Guo et al. 2015</w:t>
            </w:r>
            <w:r>
              <w:rPr>
                <w:rFonts w:ascii="Arial" w:hAnsi="Arial" w:cs="Arial"/>
                <w:szCs w:val="24"/>
                <w:vertAlign w:val="superscript"/>
              </w:rPr>
              <w:t>36</w:t>
            </w:r>
          </w:p>
        </w:tc>
      </w:tr>
      <w:tr w:rsidR="000F404A" w:rsidRPr="000C1079" w14:paraId="32744333"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1BE62E" w14:textId="77777777" w:rsidR="000F404A" w:rsidRPr="00340F8F" w:rsidRDefault="000F404A" w:rsidP="00407D16">
            <w:pPr>
              <w:spacing w:line="360" w:lineRule="auto"/>
              <w:rPr>
                <w:rFonts w:ascii="Arial" w:hAnsi="Arial" w:cs="Arial"/>
                <w:i/>
                <w:iCs/>
                <w:szCs w:val="24"/>
              </w:rPr>
            </w:pPr>
            <w:r w:rsidRPr="00340F8F">
              <w:rPr>
                <w:rFonts w:ascii="Arial" w:hAnsi="Arial" w:cs="Arial"/>
                <w:i/>
                <w:iCs/>
                <w:szCs w:val="24"/>
              </w:rPr>
              <w:t>Arhgef3</w:t>
            </w:r>
          </w:p>
        </w:tc>
        <w:tc>
          <w:tcPr>
            <w:tcW w:w="0" w:type="auto"/>
            <w:vAlign w:val="center"/>
            <w:hideMark/>
          </w:tcPr>
          <w:p w14:paraId="455A40C9" w14:textId="3175676F" w:rsidR="000F404A" w:rsidRPr="000C1079" w:rsidRDefault="00B62418"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Guo et al. 2015</w:t>
            </w:r>
            <w:r>
              <w:rPr>
                <w:rFonts w:ascii="Arial" w:hAnsi="Arial" w:cs="Arial"/>
                <w:szCs w:val="24"/>
                <w:vertAlign w:val="superscript"/>
              </w:rPr>
              <w:t>36</w:t>
            </w:r>
          </w:p>
        </w:tc>
      </w:tr>
      <w:tr w:rsidR="000F404A" w:rsidRPr="000C1079" w14:paraId="135573E2"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42CFBF" w14:textId="77777777" w:rsidR="000F404A" w:rsidRPr="00340F8F" w:rsidRDefault="000F404A" w:rsidP="00407D16">
            <w:pPr>
              <w:spacing w:line="360" w:lineRule="auto"/>
              <w:rPr>
                <w:rFonts w:ascii="Arial" w:hAnsi="Arial" w:cs="Arial"/>
                <w:i/>
                <w:iCs/>
                <w:szCs w:val="24"/>
              </w:rPr>
            </w:pPr>
            <w:r w:rsidRPr="00340F8F">
              <w:rPr>
                <w:rFonts w:ascii="Arial" w:hAnsi="Arial" w:cs="Arial"/>
                <w:i/>
                <w:iCs/>
                <w:szCs w:val="24"/>
              </w:rPr>
              <w:t>Fndc3a</w:t>
            </w:r>
          </w:p>
        </w:tc>
        <w:tc>
          <w:tcPr>
            <w:tcW w:w="0" w:type="auto"/>
            <w:vAlign w:val="center"/>
            <w:hideMark/>
          </w:tcPr>
          <w:p w14:paraId="6B28B284" w14:textId="30FF8135" w:rsidR="000F404A" w:rsidRPr="000C1079" w:rsidRDefault="00B62418"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Guo et al. 2015</w:t>
            </w:r>
            <w:r>
              <w:rPr>
                <w:rFonts w:ascii="Arial" w:hAnsi="Arial" w:cs="Arial"/>
                <w:szCs w:val="24"/>
                <w:vertAlign w:val="superscript"/>
              </w:rPr>
              <w:t>36</w:t>
            </w:r>
          </w:p>
        </w:tc>
      </w:tr>
      <w:tr w:rsidR="00487971" w:rsidRPr="000C1079" w14:paraId="1767BED4"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4B5761" w14:textId="5E8A59D5" w:rsidR="00487971" w:rsidRPr="00340F8F" w:rsidRDefault="00487971" w:rsidP="00407D16">
            <w:pPr>
              <w:spacing w:line="360" w:lineRule="auto"/>
              <w:rPr>
                <w:rFonts w:ascii="Arial" w:hAnsi="Arial" w:cs="Arial"/>
                <w:i/>
                <w:iCs/>
                <w:szCs w:val="24"/>
              </w:rPr>
            </w:pPr>
            <w:r w:rsidRPr="00340F8F">
              <w:rPr>
                <w:rFonts w:ascii="Arial" w:hAnsi="Arial" w:cs="Arial"/>
                <w:i/>
                <w:iCs/>
                <w:szCs w:val="24"/>
              </w:rPr>
              <w:t>Vim</w:t>
            </w:r>
          </w:p>
        </w:tc>
        <w:tc>
          <w:tcPr>
            <w:tcW w:w="0" w:type="auto"/>
            <w:vAlign w:val="center"/>
            <w:hideMark/>
          </w:tcPr>
          <w:p w14:paraId="7563F981" w14:textId="5E29E79A" w:rsidR="00487971" w:rsidRPr="000C1079" w:rsidRDefault="00B62418"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Guo et al. 2015</w:t>
            </w:r>
            <w:r>
              <w:rPr>
                <w:rFonts w:ascii="Arial" w:hAnsi="Arial" w:cs="Arial"/>
                <w:szCs w:val="24"/>
                <w:vertAlign w:val="superscript"/>
              </w:rPr>
              <w:t>36</w:t>
            </w:r>
          </w:p>
        </w:tc>
      </w:tr>
      <w:tr w:rsidR="00487971" w:rsidRPr="000C1079" w14:paraId="38A3E169"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109353" w14:textId="679A44EC" w:rsidR="00487971" w:rsidRPr="00340F8F" w:rsidRDefault="00487971" w:rsidP="00407D16">
            <w:pPr>
              <w:spacing w:line="360" w:lineRule="auto"/>
              <w:rPr>
                <w:rFonts w:ascii="Arial" w:hAnsi="Arial" w:cs="Arial"/>
                <w:i/>
                <w:iCs/>
                <w:szCs w:val="24"/>
              </w:rPr>
            </w:pPr>
            <w:r w:rsidRPr="00340F8F">
              <w:rPr>
                <w:rFonts w:ascii="Arial" w:hAnsi="Arial" w:cs="Arial"/>
                <w:i/>
                <w:iCs/>
                <w:szCs w:val="24"/>
              </w:rPr>
              <w:t>Cdkn1a</w:t>
            </w:r>
          </w:p>
        </w:tc>
        <w:tc>
          <w:tcPr>
            <w:tcW w:w="0" w:type="auto"/>
            <w:vAlign w:val="center"/>
            <w:hideMark/>
          </w:tcPr>
          <w:p w14:paraId="50F0957E" w14:textId="1EE75843"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Wang et al. 2008</w:t>
            </w:r>
            <w:r w:rsidRPr="000C1079">
              <w:rPr>
                <w:rFonts w:ascii="Arial" w:hAnsi="Arial" w:cs="Arial"/>
                <w:szCs w:val="24"/>
              </w:rPr>
              <w:fldChar w:fldCharType="begin"/>
            </w:r>
            <w:r>
              <w:rPr>
                <w:rFonts w:ascii="Arial" w:hAnsi="Arial" w:cs="Arial"/>
                <w:szCs w:val="24"/>
              </w:rPr>
              <w:instrText xml:space="preserve"> ADDIN ZOTERO_ITEM CSL_CITATION {"citationID":"DyQ1rO9g","properties":{"formattedCitation":"\\super 23\\nosupersub{}","plainCitation":"23","noteIndex":0},"citationItems":[{"id":360,"uris":["http://zotero.org/users/10006510/items/BUUQJZST"],"itemData":{"id":360,"type":"article-journal","abstract":"Dgcr8 knockout embryonic stem (ES) cells lack microprocessor activity and hence all canonical microRNAs (miRNAs). These cells proliferate slowly and accumulate in G1 phase of the cell cycle. Here, by screening a comprehensive library of individual miRNAs in the background of the Dgcr8 knockout ES cells, we report that multiple ES cell-specific miRNAs, members of the miR-290 family, rescue the ES cell proliferation defect. Furthermore, rescued cells no longer accumulate in the G1 phase of the cell cycle. These miRNAs function by suppressing several key regulators of the G1-S transition. These results show that post-transcriptional regulation by miRNAs promotes the G1-S transition of the ES cell cycle, enabling rapid proliferation of these cells. Our screening strategy provides an alternative and powerful approach for uncovering the role of individual miRNAs in biological processes, as it overcomes the common problem of redundancy and saturation in the miRNA system.","container-title":"Nature Genetics","DOI":"10.1038/ng.250","ISSN":"1546-1718","issue":"12","journalAbbreviation":"Nat Genet","language":"eng","note":"PMID: 18978791\nPMCID: PMC2630798","page":"1478-1483","source":"PubMed","title":"Embryonic stem cell-specific microRNAs regulate the G1-S transition and promote rapid proliferation","volume":"40","author":[{"family":"Wang","given":"Yangming"},{"family":"Baskerville","given":"Scott"},{"family":"Shenoy","given":"Archana"},{"family":"Babiarz","given":"Joshua E."},{"family":"Baehner","given":"Lauren"},{"family":"Blelloch","given":"Robert"}],"issued":{"date-parts":[["2008",12]]}}}],"schema":"https://github.com/citation-style-language/schema/raw/master/csl-citation.json"} </w:instrText>
            </w:r>
            <w:r w:rsidRPr="000C1079">
              <w:rPr>
                <w:rFonts w:ascii="Arial" w:hAnsi="Arial" w:cs="Arial"/>
                <w:szCs w:val="24"/>
              </w:rPr>
              <w:fldChar w:fldCharType="separate"/>
            </w:r>
            <w:r w:rsidRPr="005F4823">
              <w:rPr>
                <w:rFonts w:ascii="Arial" w:hAnsi="Arial" w:cs="Arial"/>
                <w:vertAlign w:val="superscript"/>
              </w:rPr>
              <w:t>23</w:t>
            </w:r>
            <w:r w:rsidRPr="000C1079">
              <w:rPr>
                <w:rFonts w:ascii="Arial" w:hAnsi="Arial" w:cs="Arial"/>
                <w:szCs w:val="24"/>
              </w:rPr>
              <w:fldChar w:fldCharType="end"/>
            </w:r>
          </w:p>
        </w:tc>
      </w:tr>
      <w:tr w:rsidR="00487971" w:rsidRPr="000C1079" w14:paraId="38A73C15"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0B5370" w14:textId="0D54BF5B" w:rsidR="00487971" w:rsidRPr="00340F8F" w:rsidRDefault="00487971" w:rsidP="00407D16">
            <w:pPr>
              <w:spacing w:line="360" w:lineRule="auto"/>
              <w:rPr>
                <w:rFonts w:ascii="Arial" w:hAnsi="Arial" w:cs="Arial"/>
                <w:i/>
                <w:iCs/>
                <w:szCs w:val="24"/>
              </w:rPr>
            </w:pPr>
            <w:r w:rsidRPr="00340F8F">
              <w:rPr>
                <w:rFonts w:ascii="Arial" w:hAnsi="Arial" w:cs="Arial"/>
                <w:i/>
                <w:iCs/>
                <w:szCs w:val="24"/>
              </w:rPr>
              <w:t>Rbl2</w:t>
            </w:r>
          </w:p>
        </w:tc>
        <w:tc>
          <w:tcPr>
            <w:tcW w:w="0" w:type="auto"/>
            <w:vAlign w:val="center"/>
            <w:hideMark/>
          </w:tcPr>
          <w:p w14:paraId="078C9E72" w14:textId="664E4B14"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Wang et al. 2008</w:t>
            </w:r>
            <w:r w:rsidRPr="000C1079">
              <w:rPr>
                <w:rFonts w:ascii="Arial" w:hAnsi="Arial" w:cs="Arial"/>
                <w:szCs w:val="24"/>
              </w:rPr>
              <w:fldChar w:fldCharType="begin"/>
            </w:r>
            <w:r>
              <w:rPr>
                <w:rFonts w:ascii="Arial" w:hAnsi="Arial" w:cs="Arial"/>
                <w:szCs w:val="24"/>
              </w:rPr>
              <w:instrText xml:space="preserve"> ADDIN ZOTERO_ITEM CSL_CITATION {"citationID":"GYXuXQYQ","properties":{"formattedCitation":"\\super 23\\nosupersub{}","plainCitation":"23","noteIndex":0},"citationItems":[{"id":360,"uris":["http://zotero.org/users/10006510/items/BUUQJZST"],"itemData":{"id":360,"type":"article-journal","abstract":"Dgcr8 knockout embryonic stem (ES) cells lack microprocessor activity and hence all canonical microRNAs (miRNAs). These cells proliferate slowly and accumulate in G1 phase of the cell cycle. Here, by screening a comprehensive library of individual miRNAs in the background of the Dgcr8 knockout ES cells, we report that multiple ES cell-specific miRNAs, members of the miR-290 family, rescue the ES cell proliferation defect. Furthermore, rescued cells no longer accumulate in the G1 phase of the cell cycle. These miRNAs function by suppressing several key regulators of the G1-S transition. These results show that post-transcriptional regulation by miRNAs promotes the G1-S transition of the ES cell cycle, enabling rapid proliferation of these cells. Our screening strategy provides an alternative and powerful approach for uncovering the role of individual miRNAs in biological processes, as it overcomes the common problem of redundancy and saturation in the miRNA system.","container-title":"Nature Genetics","DOI":"10.1038/ng.250","ISSN":"1546-1718","issue":"12","journalAbbreviation":"Nat Genet","language":"eng","note":"PMID: 18978791\nPMCID: PMC2630798","page":"1478-1483","source":"PubMed","title":"Embryonic stem cell-specific microRNAs regulate the G1-S transition and promote rapid proliferation","volume":"40","author":[{"family":"Wang","given":"Yangming"},{"family":"Baskerville","given":"Scott"},{"family":"Shenoy","given":"Archana"},{"family":"Babiarz","given":"Joshua E."},{"family":"Baehner","given":"Lauren"},{"family":"Blelloch","given":"Robert"}],"issued":{"date-parts":[["2008",12]]}}}],"schema":"https://github.com/citation-style-language/schema/raw/master/csl-citation.json"} </w:instrText>
            </w:r>
            <w:r w:rsidRPr="000C1079">
              <w:rPr>
                <w:rFonts w:ascii="Arial" w:hAnsi="Arial" w:cs="Arial"/>
                <w:szCs w:val="24"/>
              </w:rPr>
              <w:fldChar w:fldCharType="separate"/>
            </w:r>
            <w:r w:rsidRPr="005F4823">
              <w:rPr>
                <w:rFonts w:ascii="Arial" w:hAnsi="Arial" w:cs="Arial"/>
                <w:vertAlign w:val="superscript"/>
              </w:rPr>
              <w:t>23</w:t>
            </w:r>
            <w:r w:rsidRPr="000C1079">
              <w:rPr>
                <w:rFonts w:ascii="Arial" w:hAnsi="Arial" w:cs="Arial"/>
                <w:szCs w:val="24"/>
              </w:rPr>
              <w:fldChar w:fldCharType="end"/>
            </w:r>
          </w:p>
        </w:tc>
      </w:tr>
      <w:tr w:rsidR="00487971" w:rsidRPr="000C1079" w14:paraId="591D84FD"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B8B2BC" w14:textId="6100088C" w:rsidR="00487971" w:rsidRPr="00340F8F" w:rsidRDefault="00487971" w:rsidP="00407D16">
            <w:pPr>
              <w:spacing w:line="360" w:lineRule="auto"/>
              <w:rPr>
                <w:rFonts w:ascii="Arial" w:hAnsi="Arial" w:cs="Arial"/>
                <w:i/>
                <w:iCs/>
                <w:szCs w:val="24"/>
              </w:rPr>
            </w:pPr>
            <w:r w:rsidRPr="00340F8F">
              <w:rPr>
                <w:rFonts w:ascii="Arial" w:hAnsi="Arial" w:cs="Arial"/>
                <w:i/>
                <w:iCs/>
                <w:szCs w:val="24"/>
              </w:rPr>
              <w:t>Lats2</w:t>
            </w:r>
          </w:p>
        </w:tc>
        <w:tc>
          <w:tcPr>
            <w:tcW w:w="0" w:type="auto"/>
            <w:vAlign w:val="center"/>
            <w:hideMark/>
          </w:tcPr>
          <w:p w14:paraId="02AD9AEF" w14:textId="24422068"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Wang et al. 2008</w:t>
            </w:r>
            <w:r w:rsidRPr="000C1079">
              <w:rPr>
                <w:rFonts w:ascii="Arial" w:hAnsi="Arial" w:cs="Arial"/>
                <w:szCs w:val="24"/>
              </w:rPr>
              <w:fldChar w:fldCharType="begin"/>
            </w:r>
            <w:r>
              <w:rPr>
                <w:rFonts w:ascii="Arial" w:hAnsi="Arial" w:cs="Arial"/>
                <w:szCs w:val="24"/>
              </w:rPr>
              <w:instrText xml:space="preserve"> ADDIN ZOTERO_ITEM CSL_CITATION {"citationID":"OfS4FTmV","properties":{"formattedCitation":"\\super 23\\nosupersub{}","plainCitation":"23","noteIndex":0},"citationItems":[{"id":360,"uris":["http://zotero.org/users/10006510/items/BUUQJZST"],"itemData":{"id":360,"type":"article-journal","abstract":"Dgcr8 knockout embryonic stem (ES) cells lack microprocessor activity and hence all canonical microRNAs (miRNAs). These cells proliferate slowly and accumulate in G1 phase of the cell cycle. Here, by screening a comprehensive library of individual miRNAs in the background of the Dgcr8 knockout ES cells, we report that multiple ES cell-specific miRNAs, members of the miR-290 family, rescue the ES cell proliferation defect. Furthermore, rescued cells no longer accumulate in the G1 phase of the cell cycle. These miRNAs function by suppressing several key regulators of the G1-S transition. These results show that post-transcriptional regulation by miRNAs promotes the G1-S transition of the ES cell cycle, enabling rapid proliferation of these cells. Our screening strategy provides an alternative and powerful approach for uncovering the role of individual miRNAs in biological processes, as it overcomes the common problem of redundancy and saturation in the miRNA system.","container-title":"Nature Genetics","DOI":"10.1038/ng.250","ISSN":"1546-1718","issue":"12","journalAbbreviation":"Nat Genet","language":"eng","note":"PMID: 18978791\nPMCID: PMC2630798","page":"1478-1483","source":"PubMed","title":"Embryonic stem cell-specific microRNAs regulate the G1-S transition and promote rapid proliferation","volume":"40","author":[{"family":"Wang","given":"Yangming"},{"family":"Baskerville","given":"Scott"},{"family":"Shenoy","given":"Archana"},{"family":"Babiarz","given":"Joshua E."},{"family":"Baehner","given":"Lauren"},{"family":"Blelloch","given":"Robert"}],"issued":{"date-parts":[["2008",12]]}}}],"schema":"https://github.com/citation-style-language/schema/raw/master/csl-citation.json"} </w:instrText>
            </w:r>
            <w:r w:rsidRPr="000C1079">
              <w:rPr>
                <w:rFonts w:ascii="Arial" w:hAnsi="Arial" w:cs="Arial"/>
                <w:szCs w:val="24"/>
              </w:rPr>
              <w:fldChar w:fldCharType="separate"/>
            </w:r>
            <w:r w:rsidRPr="005F4823">
              <w:rPr>
                <w:rFonts w:ascii="Arial" w:hAnsi="Arial" w:cs="Arial"/>
                <w:vertAlign w:val="superscript"/>
              </w:rPr>
              <w:t>23</w:t>
            </w:r>
            <w:r w:rsidRPr="000C1079">
              <w:rPr>
                <w:rFonts w:ascii="Arial" w:hAnsi="Arial" w:cs="Arial"/>
                <w:szCs w:val="24"/>
              </w:rPr>
              <w:fldChar w:fldCharType="end"/>
            </w:r>
          </w:p>
        </w:tc>
      </w:tr>
      <w:tr w:rsidR="00487971" w:rsidRPr="000C1079" w14:paraId="739D26AF"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83B74B" w14:textId="53593CA5" w:rsidR="00487971" w:rsidRPr="00340F8F" w:rsidRDefault="00487971" w:rsidP="00407D16">
            <w:pPr>
              <w:spacing w:line="360" w:lineRule="auto"/>
              <w:rPr>
                <w:rFonts w:ascii="Arial" w:hAnsi="Arial" w:cs="Arial"/>
                <w:i/>
                <w:iCs/>
                <w:szCs w:val="24"/>
              </w:rPr>
            </w:pPr>
            <w:r w:rsidRPr="00340F8F">
              <w:rPr>
                <w:rFonts w:ascii="Arial" w:hAnsi="Arial" w:cs="Arial"/>
                <w:i/>
                <w:iCs/>
                <w:szCs w:val="24"/>
              </w:rPr>
              <w:t>Casp2</w:t>
            </w:r>
          </w:p>
        </w:tc>
        <w:tc>
          <w:tcPr>
            <w:tcW w:w="0" w:type="auto"/>
            <w:vAlign w:val="center"/>
            <w:hideMark/>
          </w:tcPr>
          <w:p w14:paraId="441BA531" w14:textId="226108EF"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Zheng et al. 2011</w:t>
            </w:r>
            <w:r w:rsidRPr="000C1079">
              <w:rPr>
                <w:rFonts w:ascii="Arial" w:hAnsi="Arial" w:cs="Arial"/>
                <w:szCs w:val="24"/>
              </w:rPr>
              <w:fldChar w:fldCharType="begin"/>
            </w:r>
            <w:r>
              <w:rPr>
                <w:rFonts w:ascii="Arial" w:hAnsi="Arial" w:cs="Arial"/>
                <w:szCs w:val="24"/>
              </w:rPr>
              <w:instrText xml:space="preserve"> ADDIN ZOTERO_ITEM CSL_CITATION {"citationID":"JN8q3aut","properties":{"formattedCitation":"\\super 24\\nosupersub{}","plainCitation":"24","noteIndex":0},"citationItems":[{"id":363,"uris":["http://zotero.org/users/10006510/items/9RJ4M8HZ"],"itemData":{"id":363,"type":"article-journal","abstract":"MicroRNAs (miRNAs) post-transcriptionally regulate the expression of thousands of distinct mRNAs. While some regulatory interactions help to maintain basal cellular functions, others are likely relevant in more specific settings, such as response to stress. Here we describe such a role for the mir-290-295 cluster, the dominant miRNA cluster in mouse embryonic stem cells (mESCs). Examination of a target list generated from bioinformatic prediction, as well as expression data following miRNA loss, revealed strong enrichment for apoptotic regulators, two of which we validated directly: Caspase 2, the most highly conserved mammalian caspase, and Ei24, a p53 transcriptional target. Consistent with these predictions, mESCs lacking miRNAs were more likely to initiate apoptosis following genotoxic exposure to gamma irradiation or doxorubicin. Knockdown of either candidate partially rescued this pro-apoptotic phenotype, as did transfection of members of the mir-290-295 cluster. These findings were recapitulated in a specific mir-290-295 deletion line, confirming that they reflect miRNA functions at physiological levels. In contrast to the basal regulatory roles previously identified, the pro-survival phenotype shown here may be most relevant to stressful gestations, where pro-oxidant metabolic states induce DNA damage. Similarly, this cluster may mediate chemotherapeutic resistance in a neoplastic context, making it a useful clinical target.","container-title":"PLoS genetics","DOI":"10.1371/journal.pgen.1002054","ISSN":"1553-7404","issue":"5","journalAbbreviation":"PLoS Genet","language":"eng","note":"PMID: 21573140\nPMCID: PMC3088722","page":"e1002054","source":"PubMed","title":"A latent pro-survival function for the mir-290-295 cluster in mouse embryonic stem cells","volume":"7","author":[{"family":"Zheng","given":"Grace X. Y."},{"family":"Ravi","given":"Arvind"},{"family":"Calabrese","given":"J. Mauro"},{"family":"Medeiros","given":"Lea A."},{"family":"Kirak","given":"Oktay"},{"family":"Dennis","given":"Lucas M."},{"family":"Jaenisch","given":"Rudolf"},{"family":"Burge","given":"Christopher B."},{"family":"Sharp","given":"Phillip A."}],"issued":{"date-parts":[["2011",5]]}}}],"schema":"https://github.com/citation-style-language/schema/raw/master/csl-citation.json"} </w:instrText>
            </w:r>
            <w:r w:rsidRPr="000C1079">
              <w:rPr>
                <w:rFonts w:ascii="Arial" w:hAnsi="Arial" w:cs="Arial"/>
                <w:szCs w:val="24"/>
              </w:rPr>
              <w:fldChar w:fldCharType="separate"/>
            </w:r>
            <w:r w:rsidRPr="005F4823">
              <w:rPr>
                <w:rFonts w:ascii="Arial" w:hAnsi="Arial" w:cs="Arial"/>
                <w:vertAlign w:val="superscript"/>
              </w:rPr>
              <w:t>24</w:t>
            </w:r>
            <w:r w:rsidRPr="000C1079">
              <w:rPr>
                <w:rFonts w:ascii="Arial" w:hAnsi="Arial" w:cs="Arial"/>
                <w:szCs w:val="24"/>
              </w:rPr>
              <w:fldChar w:fldCharType="end"/>
            </w:r>
          </w:p>
        </w:tc>
      </w:tr>
      <w:tr w:rsidR="00487971" w:rsidRPr="000C1079" w14:paraId="4A93F3D4"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E1F844" w14:textId="4A560166" w:rsidR="00487971" w:rsidRPr="00340F8F" w:rsidRDefault="00487971" w:rsidP="00407D16">
            <w:pPr>
              <w:spacing w:line="360" w:lineRule="auto"/>
              <w:rPr>
                <w:rFonts w:ascii="Arial" w:hAnsi="Arial" w:cs="Arial"/>
                <w:i/>
                <w:iCs/>
                <w:szCs w:val="24"/>
              </w:rPr>
            </w:pPr>
            <w:r w:rsidRPr="00340F8F">
              <w:rPr>
                <w:rFonts w:ascii="Arial" w:hAnsi="Arial" w:cs="Arial"/>
                <w:i/>
                <w:iCs/>
                <w:szCs w:val="24"/>
              </w:rPr>
              <w:t>Ei24</w:t>
            </w:r>
          </w:p>
        </w:tc>
        <w:tc>
          <w:tcPr>
            <w:tcW w:w="0" w:type="auto"/>
            <w:vAlign w:val="center"/>
            <w:hideMark/>
          </w:tcPr>
          <w:p w14:paraId="6DFE29BC" w14:textId="3FAE23B9"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Zheng et al. 2011</w:t>
            </w:r>
            <w:r w:rsidRPr="000C1079">
              <w:rPr>
                <w:rFonts w:ascii="Arial" w:hAnsi="Arial" w:cs="Arial"/>
                <w:szCs w:val="24"/>
              </w:rPr>
              <w:fldChar w:fldCharType="begin"/>
            </w:r>
            <w:r>
              <w:rPr>
                <w:rFonts w:ascii="Arial" w:hAnsi="Arial" w:cs="Arial"/>
                <w:szCs w:val="24"/>
              </w:rPr>
              <w:instrText xml:space="preserve"> ADDIN ZOTERO_ITEM CSL_CITATION {"citationID":"WGHB8QCy","properties":{"formattedCitation":"\\super 24\\nosupersub{}","plainCitation":"24","noteIndex":0},"citationItems":[{"id":363,"uris":["http://zotero.org/users/10006510/items/9RJ4M8HZ"],"itemData":{"id":363,"type":"article-journal","abstract":"MicroRNAs (miRNAs) post-transcriptionally regulate the expression of thousands of distinct mRNAs. While some regulatory interactions help to maintain basal cellular functions, others are likely relevant in more specific settings, such as response to stress. Here we describe such a role for the mir-290-295 cluster, the dominant miRNA cluster in mouse embryonic stem cells (mESCs). Examination of a target list generated from bioinformatic prediction, as well as expression data following miRNA loss, revealed strong enrichment for apoptotic regulators, two of which we validated directly: Caspase 2, the most highly conserved mammalian caspase, and Ei24, a p53 transcriptional target. Consistent with these predictions, mESCs lacking miRNAs were more likely to initiate apoptosis following genotoxic exposure to gamma irradiation or doxorubicin. Knockdown of either candidate partially rescued this pro-apoptotic phenotype, as did transfection of members of the mir-290-295 cluster. These findings were recapitulated in a specific mir-290-295 deletion line, confirming that they reflect miRNA functions at physiological levels. In contrast to the basal regulatory roles previously identified, the pro-survival phenotype shown here may be most relevant to stressful gestations, where pro-oxidant metabolic states induce DNA damage. Similarly, this cluster may mediate chemotherapeutic resistance in a neoplastic context, making it a useful clinical target.","container-title":"PLoS genetics","DOI":"10.1371/journal.pgen.1002054","ISSN":"1553-7404","issue":"5","journalAbbreviation":"PLoS Genet","language":"eng","note":"PMID: 21573140\nPMCID: PMC3088722","page":"e1002054","source":"PubMed","title":"A latent pro-survival function for the mir-290-295 cluster in mouse embryonic stem cells","volume":"7","author":[{"family":"Zheng","given":"Grace X. Y."},{"family":"Ravi","given":"Arvind"},{"family":"Calabrese","given":"J. Mauro"},{"family":"Medeiros","given":"Lea A."},{"family":"Kirak","given":"Oktay"},{"family":"Dennis","given":"Lucas M."},{"family":"Jaenisch","given":"Rudolf"},{"family":"Burge","given":"Christopher B."},{"family":"Sharp","given":"Phillip A."}],"issued":{"date-parts":[["2011",5]]}}}],"schema":"https://github.com/citation-style-language/schema/raw/master/csl-citation.json"} </w:instrText>
            </w:r>
            <w:r w:rsidRPr="000C1079">
              <w:rPr>
                <w:rFonts w:ascii="Arial" w:hAnsi="Arial" w:cs="Arial"/>
                <w:szCs w:val="24"/>
              </w:rPr>
              <w:fldChar w:fldCharType="separate"/>
            </w:r>
            <w:r w:rsidRPr="005F4823">
              <w:rPr>
                <w:rFonts w:ascii="Arial" w:hAnsi="Arial" w:cs="Arial"/>
                <w:vertAlign w:val="superscript"/>
              </w:rPr>
              <w:t>24</w:t>
            </w:r>
            <w:r w:rsidRPr="000C1079">
              <w:rPr>
                <w:rFonts w:ascii="Arial" w:hAnsi="Arial" w:cs="Arial"/>
                <w:szCs w:val="24"/>
              </w:rPr>
              <w:fldChar w:fldCharType="end"/>
            </w:r>
          </w:p>
        </w:tc>
      </w:tr>
      <w:tr w:rsidR="00487971" w:rsidRPr="000C1079" w14:paraId="3977ECB2"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FDE076" w14:textId="290C589B" w:rsidR="00487971" w:rsidRPr="00340F8F" w:rsidRDefault="00487971" w:rsidP="00407D16">
            <w:pPr>
              <w:spacing w:line="360" w:lineRule="auto"/>
              <w:rPr>
                <w:rFonts w:ascii="Arial" w:hAnsi="Arial" w:cs="Arial"/>
                <w:i/>
                <w:iCs/>
                <w:szCs w:val="24"/>
              </w:rPr>
            </w:pPr>
            <w:r w:rsidRPr="00340F8F">
              <w:rPr>
                <w:rFonts w:ascii="Arial" w:hAnsi="Arial" w:cs="Arial"/>
                <w:i/>
                <w:iCs/>
                <w:szCs w:val="24"/>
              </w:rPr>
              <w:t>Wee1</w:t>
            </w:r>
          </w:p>
        </w:tc>
        <w:tc>
          <w:tcPr>
            <w:tcW w:w="0" w:type="auto"/>
            <w:vAlign w:val="center"/>
            <w:hideMark/>
          </w:tcPr>
          <w:p w14:paraId="2E98DD8B" w14:textId="4E59874F"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roofErr w:type="spellStart"/>
            <w:r w:rsidRPr="000C1079">
              <w:rPr>
                <w:rFonts w:ascii="Arial" w:hAnsi="Arial" w:cs="Arial"/>
                <w:szCs w:val="24"/>
              </w:rPr>
              <w:t>Lichner</w:t>
            </w:r>
            <w:proofErr w:type="spellEnd"/>
            <w:r w:rsidRPr="000C1079">
              <w:rPr>
                <w:rFonts w:ascii="Arial" w:hAnsi="Arial" w:cs="Arial"/>
                <w:szCs w:val="24"/>
              </w:rPr>
              <w:t xml:space="preserve"> et al. 2011</w:t>
            </w:r>
            <w:r w:rsidRPr="000C1079">
              <w:rPr>
                <w:rFonts w:ascii="Arial" w:hAnsi="Arial" w:cs="Arial"/>
                <w:szCs w:val="24"/>
              </w:rPr>
              <w:fldChar w:fldCharType="begin"/>
            </w:r>
            <w:r>
              <w:rPr>
                <w:rFonts w:ascii="Arial" w:hAnsi="Arial" w:cs="Arial"/>
                <w:szCs w:val="24"/>
              </w:rPr>
              <w:instrText xml:space="preserve"> ADDIN ZOTERO_ITEM CSL_CITATION {"citationID":"jUrYkUqx","properties":{"formattedCitation":"\\super 22\\nosupersub{}","plainCitation":"22","noteIndex":0},"citationItems":[{"id":669,"uris":["http://zotero.org/users/10006510/items/2FVNEYBQ"],"itemData":{"id":669,"type":"article-journal","abstract":"The mmu-miR-290-295 cluster codes for a family of microRNAs (miRNAs) that are expressed de novo during early embryogenesis and are specific for mouse embryonic stem cells (ESC) and embryonic carcinoma cells (ECC). Detailed sequence analysis and alignment studies of miR-290-295 precursors demonstrated that the cluster has evolved by repeated duplication events of the ancient miR-290 precursor. We show that under serum starvation, overexpression of miR-290-295 miRNAs withhold ES cells from early differentiation, ensures their high proliferation rate and capacity for forming alkaline phosphate positive colonies. Transcriptome analysis revealed that differentiation related marker genes are underexpressed upon high miR-290-295 level. Importantly, miR-290-295 overexpression prevents ES cells from accumulation in G1 phase at low serum level, and seems to regulate cell cycle in different phases. Our data underline that miR-290-295 miRNAs contribute to the natural absence of G1 checkpoint in embryonic stem cells. We define the cell cycle regulators Wee1 and Fbxl5 as potential direct targets of miR-290-295 miRNAs in vitro. Our results suggest that miR-290-295 miRNAs exhibit their effect predominantly through the regulation of cell cycle phase distribution.","container-title":"Differentiation","DOI":"10.1016/j.diff.2010.08.002","ISSN":"0301-4681","issue":"1","journalAbbreviation":"Differentiation","language":"en","page":"11-24","source":"ScienceDirect","title":"The miR-290-295 cluster promotes pluripotency maintenance by regulating cell cycle phase distribution in mouse embryonic stem cells","volume":"81","author":[{"family":"Lichner","given":"Zsuzsanna"},{"family":"Páll","given":"Emőke"},{"family":"Kerekes","given":"Andrea"},{"family":"Pállinger","given":"Éva"},{"family":"Maraghechi","given":"Pouneh"},{"family":"Bősze","given":"Zsuzsanna"},{"family":"Gócza","given":"Elen"}],"issued":{"date-parts":[["2011",1,1]]}}}],"schema":"https://github.com/citation-style-language/schema/raw/master/csl-citation.json"} </w:instrText>
            </w:r>
            <w:r w:rsidRPr="000C1079">
              <w:rPr>
                <w:rFonts w:ascii="Arial" w:hAnsi="Arial" w:cs="Arial"/>
                <w:szCs w:val="24"/>
              </w:rPr>
              <w:fldChar w:fldCharType="separate"/>
            </w:r>
            <w:r w:rsidRPr="005F4823">
              <w:rPr>
                <w:rFonts w:ascii="Arial" w:hAnsi="Arial" w:cs="Arial"/>
                <w:vertAlign w:val="superscript"/>
              </w:rPr>
              <w:t>22</w:t>
            </w:r>
            <w:r w:rsidRPr="000C1079">
              <w:rPr>
                <w:rFonts w:ascii="Arial" w:hAnsi="Arial" w:cs="Arial"/>
                <w:szCs w:val="24"/>
              </w:rPr>
              <w:fldChar w:fldCharType="end"/>
            </w:r>
          </w:p>
        </w:tc>
      </w:tr>
      <w:tr w:rsidR="00487971" w:rsidRPr="000C1079" w14:paraId="3E4DC37D"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C04247" w14:textId="739CA9E3" w:rsidR="00487971" w:rsidRPr="00340F8F" w:rsidRDefault="00487971" w:rsidP="00407D16">
            <w:pPr>
              <w:spacing w:line="360" w:lineRule="auto"/>
              <w:rPr>
                <w:rFonts w:ascii="Arial" w:hAnsi="Arial" w:cs="Arial"/>
                <w:i/>
                <w:iCs/>
                <w:szCs w:val="24"/>
              </w:rPr>
            </w:pPr>
            <w:r w:rsidRPr="00340F8F">
              <w:rPr>
                <w:rFonts w:ascii="Arial" w:hAnsi="Arial" w:cs="Arial"/>
                <w:i/>
                <w:iCs/>
                <w:szCs w:val="24"/>
              </w:rPr>
              <w:t>Fbxl5</w:t>
            </w:r>
          </w:p>
        </w:tc>
        <w:tc>
          <w:tcPr>
            <w:tcW w:w="0" w:type="auto"/>
            <w:vAlign w:val="center"/>
            <w:hideMark/>
          </w:tcPr>
          <w:p w14:paraId="12BB80ED" w14:textId="7B0E9D12"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roofErr w:type="spellStart"/>
            <w:r w:rsidRPr="000C1079">
              <w:rPr>
                <w:rFonts w:ascii="Arial" w:hAnsi="Arial" w:cs="Arial"/>
                <w:szCs w:val="24"/>
              </w:rPr>
              <w:t>Lichner</w:t>
            </w:r>
            <w:proofErr w:type="spellEnd"/>
            <w:r w:rsidRPr="000C1079">
              <w:rPr>
                <w:rFonts w:ascii="Arial" w:hAnsi="Arial" w:cs="Arial"/>
                <w:szCs w:val="24"/>
              </w:rPr>
              <w:t xml:space="preserve"> et al. 2011</w:t>
            </w:r>
            <w:r w:rsidRPr="000C1079">
              <w:rPr>
                <w:rFonts w:ascii="Arial" w:hAnsi="Arial" w:cs="Arial"/>
                <w:szCs w:val="24"/>
              </w:rPr>
              <w:fldChar w:fldCharType="begin"/>
            </w:r>
            <w:r>
              <w:rPr>
                <w:rFonts w:ascii="Arial" w:hAnsi="Arial" w:cs="Arial"/>
                <w:szCs w:val="24"/>
              </w:rPr>
              <w:instrText xml:space="preserve"> ADDIN ZOTERO_ITEM CSL_CITATION {"citationID":"cRmRdVLO","properties":{"formattedCitation":"\\super 22\\nosupersub{}","plainCitation":"22","noteIndex":0},"citationItems":[{"id":669,"uris":["http://zotero.org/users/10006510/items/2FVNEYBQ"],"itemData":{"id":669,"type":"article-journal","abstract":"The mmu-miR-290-295 cluster codes for a family of microRNAs (miRNAs) that are expressed de novo during early embryogenesis and are specific for mouse embryonic stem cells (ESC) and embryonic carcinoma cells (ECC). Detailed sequence analysis and alignment studies of miR-290-295 precursors demonstrated that the cluster has evolved by repeated duplication events of the ancient miR-290 precursor. We show that under serum starvation, overexpression of miR-290-295 miRNAs withhold ES cells from early differentiation, ensures their high proliferation rate and capacity for forming alkaline phosphate positive colonies. Transcriptome analysis revealed that differentiation related marker genes are underexpressed upon high miR-290-295 level. Importantly, miR-290-295 overexpression prevents ES cells from accumulation in G1 phase at low serum level, and seems to regulate cell cycle in different phases. Our data underline that miR-290-295 miRNAs contribute to the natural absence of G1 checkpoint in embryonic stem cells. We define the cell cycle regulators Wee1 and Fbxl5 as potential direct targets of miR-290-295 miRNAs in vitro. Our results suggest that miR-290-295 miRNAs exhibit their effect predominantly through the regulation of cell cycle phase distribution.","container-title":"Differentiation","DOI":"10.1016/j.diff.2010.08.002","ISSN":"0301-4681","issue":"1","journalAbbreviation":"Differentiation","language":"en","page":"11-24","source":"ScienceDirect","title":"The miR-290-295 cluster promotes pluripotency maintenance by regulating cell cycle phase distribution in mouse embryonic stem cells","volume":"81","author":[{"family":"Lichner","given":"Zsuzsanna"},{"family":"Páll","given":"Emőke"},{"family":"Kerekes","given":"Andrea"},{"family":"Pállinger","given":"Éva"},{"family":"Maraghechi","given":"Pouneh"},{"family":"Bősze","given":"Zsuzsanna"},{"family":"Gócza","given":"Elen"}],"issued":{"date-parts":[["2011",1,1]]}}}],"schema":"https://github.com/citation-style-language/schema/raw/master/csl-citation.json"} </w:instrText>
            </w:r>
            <w:r w:rsidRPr="000C1079">
              <w:rPr>
                <w:rFonts w:ascii="Arial" w:hAnsi="Arial" w:cs="Arial"/>
                <w:szCs w:val="24"/>
              </w:rPr>
              <w:fldChar w:fldCharType="separate"/>
            </w:r>
            <w:r w:rsidRPr="005F4823">
              <w:rPr>
                <w:rFonts w:ascii="Arial" w:hAnsi="Arial" w:cs="Arial"/>
                <w:vertAlign w:val="superscript"/>
              </w:rPr>
              <w:t>22</w:t>
            </w:r>
            <w:r w:rsidRPr="000C1079">
              <w:rPr>
                <w:rFonts w:ascii="Arial" w:hAnsi="Arial" w:cs="Arial"/>
                <w:szCs w:val="24"/>
              </w:rPr>
              <w:fldChar w:fldCharType="end"/>
            </w:r>
          </w:p>
        </w:tc>
      </w:tr>
      <w:tr w:rsidR="00487971" w:rsidRPr="000C1079" w14:paraId="03AB79B7"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515F83" w14:textId="518B443F" w:rsidR="00487971" w:rsidRPr="00340F8F" w:rsidRDefault="00487971" w:rsidP="00407D16">
            <w:pPr>
              <w:spacing w:line="360" w:lineRule="auto"/>
              <w:rPr>
                <w:rFonts w:ascii="Arial" w:hAnsi="Arial" w:cs="Arial"/>
                <w:i/>
                <w:iCs/>
                <w:szCs w:val="24"/>
              </w:rPr>
            </w:pPr>
            <w:r w:rsidRPr="00340F8F">
              <w:rPr>
                <w:rFonts w:ascii="Arial" w:hAnsi="Arial" w:cs="Arial"/>
                <w:i/>
                <w:iCs/>
                <w:szCs w:val="24"/>
              </w:rPr>
              <w:t>Dkk1</w:t>
            </w:r>
          </w:p>
        </w:tc>
        <w:tc>
          <w:tcPr>
            <w:tcW w:w="0" w:type="auto"/>
            <w:vAlign w:val="center"/>
            <w:hideMark/>
          </w:tcPr>
          <w:p w14:paraId="74C9FAE8" w14:textId="083E11C3" w:rsidR="00487971" w:rsidRPr="00B62418"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vertAlign w:val="superscript"/>
              </w:rPr>
            </w:pPr>
            <w:proofErr w:type="spellStart"/>
            <w:r w:rsidRPr="000C1079">
              <w:rPr>
                <w:rFonts w:ascii="Arial" w:hAnsi="Arial" w:cs="Arial"/>
                <w:szCs w:val="24"/>
              </w:rPr>
              <w:t>Zovoilis</w:t>
            </w:r>
            <w:proofErr w:type="spellEnd"/>
            <w:r w:rsidRPr="000C1079">
              <w:rPr>
                <w:rFonts w:ascii="Arial" w:hAnsi="Arial" w:cs="Arial"/>
                <w:szCs w:val="24"/>
              </w:rPr>
              <w:t xml:space="preserve"> et al. 2009</w:t>
            </w:r>
            <w:r w:rsidR="00B62418">
              <w:rPr>
                <w:rFonts w:ascii="Arial" w:hAnsi="Arial" w:cs="Arial"/>
                <w:szCs w:val="24"/>
                <w:vertAlign w:val="superscript"/>
              </w:rPr>
              <w:t>37</w:t>
            </w:r>
          </w:p>
        </w:tc>
      </w:tr>
      <w:tr w:rsidR="00487971" w:rsidRPr="000C1079" w14:paraId="4A1A280D"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691674" w14:textId="6D8CF038" w:rsidR="00487971" w:rsidRPr="00340F8F" w:rsidRDefault="00487971" w:rsidP="00407D16">
            <w:pPr>
              <w:spacing w:line="360" w:lineRule="auto"/>
              <w:rPr>
                <w:rFonts w:ascii="Arial" w:hAnsi="Arial" w:cs="Arial"/>
                <w:i/>
                <w:iCs/>
                <w:szCs w:val="24"/>
              </w:rPr>
            </w:pPr>
            <w:r w:rsidRPr="00340F8F">
              <w:rPr>
                <w:rFonts w:ascii="Arial" w:hAnsi="Arial" w:cs="Arial"/>
                <w:i/>
                <w:iCs/>
                <w:szCs w:val="24"/>
              </w:rPr>
              <w:t>Rela</w:t>
            </w:r>
          </w:p>
        </w:tc>
        <w:tc>
          <w:tcPr>
            <w:tcW w:w="0" w:type="auto"/>
            <w:vAlign w:val="center"/>
            <w:hideMark/>
          </w:tcPr>
          <w:p w14:paraId="2E8F4A17" w14:textId="2D9FB82D" w:rsidR="00487971" w:rsidRPr="00B62418"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vertAlign w:val="superscript"/>
              </w:rPr>
            </w:pPr>
            <w:proofErr w:type="spellStart"/>
            <w:r w:rsidRPr="000C1079">
              <w:rPr>
                <w:rFonts w:ascii="Arial" w:hAnsi="Arial" w:cs="Arial"/>
                <w:szCs w:val="24"/>
              </w:rPr>
              <w:t>Lüningschrör</w:t>
            </w:r>
            <w:proofErr w:type="spellEnd"/>
            <w:r w:rsidRPr="000C1079">
              <w:rPr>
                <w:rFonts w:ascii="Arial" w:hAnsi="Arial" w:cs="Arial"/>
                <w:szCs w:val="24"/>
              </w:rPr>
              <w:t xml:space="preserve"> et al. 2012</w:t>
            </w:r>
            <w:r w:rsidR="00B62418" w:rsidRPr="00B62418">
              <w:rPr>
                <w:rFonts w:ascii="Arial" w:hAnsi="Arial" w:cs="Arial"/>
                <w:szCs w:val="24"/>
                <w:vertAlign w:val="superscript"/>
              </w:rPr>
              <w:t>38</w:t>
            </w:r>
          </w:p>
        </w:tc>
      </w:tr>
      <w:tr w:rsidR="00487971" w:rsidRPr="000C1079" w14:paraId="198B81F4"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7F5070" w14:textId="200B1641" w:rsidR="00487971" w:rsidRPr="00340F8F" w:rsidRDefault="00487971" w:rsidP="00407D16">
            <w:pPr>
              <w:spacing w:line="360" w:lineRule="auto"/>
              <w:rPr>
                <w:rFonts w:ascii="Arial" w:hAnsi="Arial" w:cs="Arial"/>
                <w:i/>
                <w:iCs/>
                <w:szCs w:val="24"/>
              </w:rPr>
            </w:pPr>
            <w:r w:rsidRPr="00340F8F">
              <w:rPr>
                <w:rFonts w:ascii="Arial" w:hAnsi="Arial" w:cs="Arial"/>
                <w:i/>
                <w:iCs/>
                <w:szCs w:val="24"/>
              </w:rPr>
              <w:t>Pax6</w:t>
            </w:r>
          </w:p>
        </w:tc>
        <w:tc>
          <w:tcPr>
            <w:tcW w:w="0" w:type="auto"/>
            <w:vAlign w:val="center"/>
            <w:hideMark/>
          </w:tcPr>
          <w:p w14:paraId="773DD118" w14:textId="585B3A84"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roofErr w:type="spellStart"/>
            <w:r w:rsidRPr="000C1079">
              <w:rPr>
                <w:rFonts w:ascii="Arial" w:hAnsi="Arial" w:cs="Arial"/>
                <w:szCs w:val="24"/>
              </w:rPr>
              <w:t>Kaspi</w:t>
            </w:r>
            <w:proofErr w:type="spellEnd"/>
            <w:r w:rsidRPr="000C1079">
              <w:rPr>
                <w:rFonts w:ascii="Arial" w:hAnsi="Arial" w:cs="Arial"/>
                <w:szCs w:val="24"/>
              </w:rPr>
              <w:t xml:space="preserve"> et al. 2013</w:t>
            </w:r>
            <w:r w:rsidR="00B62418" w:rsidRPr="00B62418">
              <w:rPr>
                <w:rFonts w:ascii="Arial" w:hAnsi="Arial" w:cs="Arial"/>
                <w:szCs w:val="24"/>
                <w:vertAlign w:val="superscript"/>
              </w:rPr>
              <w:t>39</w:t>
            </w:r>
          </w:p>
        </w:tc>
      </w:tr>
      <w:tr w:rsidR="00487971" w:rsidRPr="000C1079" w14:paraId="75CB723E"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05276A" w14:textId="47F9E9A6" w:rsidR="00487971" w:rsidRPr="00340F8F" w:rsidRDefault="00487971" w:rsidP="00407D16">
            <w:pPr>
              <w:spacing w:line="360" w:lineRule="auto"/>
              <w:rPr>
                <w:rFonts w:ascii="Arial" w:hAnsi="Arial" w:cs="Arial"/>
                <w:i/>
                <w:iCs/>
                <w:szCs w:val="24"/>
              </w:rPr>
            </w:pPr>
            <w:r w:rsidRPr="00340F8F">
              <w:rPr>
                <w:rFonts w:ascii="Arial" w:hAnsi="Arial" w:cs="Arial"/>
                <w:i/>
                <w:iCs/>
                <w:szCs w:val="24"/>
              </w:rPr>
              <w:t>Ccnd1</w:t>
            </w:r>
          </w:p>
        </w:tc>
        <w:tc>
          <w:tcPr>
            <w:tcW w:w="0" w:type="auto"/>
            <w:vAlign w:val="center"/>
            <w:hideMark/>
          </w:tcPr>
          <w:p w14:paraId="18C5C2B6" w14:textId="3EA4F5A2"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Gong et al. 2017</w:t>
            </w:r>
            <w:r w:rsidR="00B62418" w:rsidRPr="00B62418">
              <w:rPr>
                <w:rFonts w:ascii="Arial" w:hAnsi="Arial" w:cs="Arial"/>
                <w:szCs w:val="24"/>
                <w:vertAlign w:val="superscript"/>
              </w:rPr>
              <w:t>40</w:t>
            </w:r>
          </w:p>
        </w:tc>
      </w:tr>
      <w:tr w:rsidR="00487971" w:rsidRPr="000C1079" w14:paraId="405F99EB"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EAA239" w14:textId="1E689A39" w:rsidR="00487971" w:rsidRPr="00340F8F" w:rsidRDefault="00487971" w:rsidP="00407D16">
            <w:pPr>
              <w:spacing w:line="360" w:lineRule="auto"/>
              <w:rPr>
                <w:rFonts w:ascii="Arial" w:hAnsi="Arial" w:cs="Arial"/>
                <w:i/>
                <w:iCs/>
                <w:szCs w:val="24"/>
              </w:rPr>
            </w:pPr>
            <w:r w:rsidRPr="00340F8F">
              <w:rPr>
                <w:rFonts w:ascii="Arial" w:hAnsi="Arial" w:cs="Arial"/>
                <w:i/>
                <w:iCs/>
                <w:szCs w:val="24"/>
              </w:rPr>
              <w:t>Arid4b</w:t>
            </w:r>
          </w:p>
        </w:tc>
        <w:tc>
          <w:tcPr>
            <w:tcW w:w="0" w:type="auto"/>
            <w:vAlign w:val="center"/>
            <w:hideMark/>
          </w:tcPr>
          <w:p w14:paraId="7C5E152F" w14:textId="6C703E9F"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Goldberger et al. 2013</w:t>
            </w:r>
            <w:r w:rsidR="00B62418" w:rsidRPr="00B62418">
              <w:rPr>
                <w:rFonts w:ascii="Arial" w:hAnsi="Arial" w:cs="Arial"/>
                <w:szCs w:val="24"/>
                <w:vertAlign w:val="superscript"/>
              </w:rPr>
              <w:t>41</w:t>
            </w:r>
          </w:p>
        </w:tc>
      </w:tr>
      <w:tr w:rsidR="00487971" w:rsidRPr="000C1079" w14:paraId="5DAC2317"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A0B14D" w14:textId="713DE21A" w:rsidR="00487971" w:rsidRPr="00340F8F" w:rsidRDefault="00487971" w:rsidP="00407D16">
            <w:pPr>
              <w:spacing w:line="360" w:lineRule="auto"/>
              <w:rPr>
                <w:rFonts w:ascii="Arial" w:hAnsi="Arial" w:cs="Arial"/>
                <w:i/>
                <w:iCs/>
                <w:szCs w:val="24"/>
              </w:rPr>
            </w:pPr>
            <w:r w:rsidRPr="00340F8F">
              <w:rPr>
                <w:rFonts w:ascii="Arial" w:hAnsi="Arial" w:cs="Arial"/>
                <w:i/>
                <w:iCs/>
                <w:szCs w:val="24"/>
              </w:rPr>
              <w:t>Mbd2</w:t>
            </w:r>
          </w:p>
        </w:tc>
        <w:tc>
          <w:tcPr>
            <w:tcW w:w="0" w:type="auto"/>
            <w:vAlign w:val="center"/>
            <w:hideMark/>
          </w:tcPr>
          <w:p w14:paraId="65BEA426" w14:textId="75D9E0F2"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Cao et al. 2015</w:t>
            </w:r>
            <w:r w:rsidR="00B62418" w:rsidRPr="00B62418">
              <w:rPr>
                <w:rFonts w:ascii="Arial" w:hAnsi="Arial" w:cs="Arial"/>
                <w:szCs w:val="24"/>
                <w:vertAlign w:val="superscript"/>
              </w:rPr>
              <w:t>42</w:t>
            </w:r>
          </w:p>
        </w:tc>
      </w:tr>
      <w:tr w:rsidR="00487971" w:rsidRPr="000C1079" w14:paraId="0BF82B27"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CB08AA" w14:textId="2CC197C3" w:rsidR="00487971" w:rsidRPr="00340F8F" w:rsidRDefault="00487971" w:rsidP="00407D16">
            <w:pPr>
              <w:spacing w:line="360" w:lineRule="auto"/>
              <w:rPr>
                <w:rFonts w:ascii="Arial" w:hAnsi="Arial" w:cs="Arial"/>
                <w:i/>
                <w:iCs/>
                <w:szCs w:val="24"/>
              </w:rPr>
            </w:pPr>
            <w:r w:rsidRPr="00340F8F">
              <w:rPr>
                <w:rFonts w:ascii="Arial" w:hAnsi="Arial" w:cs="Arial"/>
                <w:i/>
                <w:iCs/>
                <w:szCs w:val="24"/>
              </w:rPr>
              <w:t>Ash1l</w:t>
            </w:r>
          </w:p>
        </w:tc>
        <w:tc>
          <w:tcPr>
            <w:tcW w:w="0" w:type="auto"/>
            <w:vAlign w:val="center"/>
            <w:hideMark/>
          </w:tcPr>
          <w:p w14:paraId="1B183D66" w14:textId="43BF5851"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roofErr w:type="spellStart"/>
            <w:r w:rsidRPr="000C1079">
              <w:rPr>
                <w:rFonts w:ascii="Arial" w:hAnsi="Arial" w:cs="Arial"/>
                <w:szCs w:val="24"/>
              </w:rPr>
              <w:t>Kanellopoulou</w:t>
            </w:r>
            <w:proofErr w:type="spellEnd"/>
            <w:r w:rsidRPr="000C1079">
              <w:rPr>
                <w:rFonts w:ascii="Arial" w:hAnsi="Arial" w:cs="Arial"/>
                <w:szCs w:val="24"/>
              </w:rPr>
              <w:t xml:space="preserve"> et al. 2015</w:t>
            </w:r>
            <w:r w:rsidR="00B62418" w:rsidRPr="00B62418">
              <w:rPr>
                <w:rFonts w:ascii="Arial" w:hAnsi="Arial" w:cs="Arial"/>
                <w:szCs w:val="24"/>
                <w:vertAlign w:val="superscript"/>
              </w:rPr>
              <w:t>43</w:t>
            </w:r>
          </w:p>
        </w:tc>
      </w:tr>
      <w:tr w:rsidR="00487971" w:rsidRPr="000C1079" w14:paraId="35CBB677"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9C3A61" w14:textId="3E2222B1" w:rsidR="00487971" w:rsidRPr="00340F8F" w:rsidRDefault="00487971" w:rsidP="00407D16">
            <w:pPr>
              <w:spacing w:line="360" w:lineRule="auto"/>
              <w:rPr>
                <w:rFonts w:ascii="Arial" w:hAnsi="Arial" w:cs="Arial"/>
                <w:i/>
                <w:iCs/>
                <w:szCs w:val="24"/>
              </w:rPr>
            </w:pPr>
            <w:r w:rsidRPr="00340F8F">
              <w:rPr>
                <w:rFonts w:ascii="Arial" w:hAnsi="Arial" w:cs="Arial"/>
                <w:i/>
                <w:iCs/>
                <w:szCs w:val="24"/>
              </w:rPr>
              <w:t>Tfap4</w:t>
            </w:r>
          </w:p>
        </w:tc>
        <w:tc>
          <w:tcPr>
            <w:tcW w:w="0" w:type="auto"/>
            <w:noWrap/>
            <w:vAlign w:val="center"/>
            <w:hideMark/>
          </w:tcPr>
          <w:p w14:paraId="66787274" w14:textId="0F797305"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Schaefer et al. 2022</w:t>
            </w:r>
            <w:r w:rsidR="00B62418" w:rsidRPr="00B62418">
              <w:rPr>
                <w:rFonts w:ascii="Arial" w:hAnsi="Arial" w:cs="Arial"/>
                <w:szCs w:val="24"/>
                <w:vertAlign w:val="superscript"/>
              </w:rPr>
              <w:t>44</w:t>
            </w:r>
          </w:p>
        </w:tc>
      </w:tr>
      <w:tr w:rsidR="00487971" w:rsidRPr="000C1079" w14:paraId="64497E1C"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23C367" w14:textId="6DE5A11F" w:rsidR="00487971" w:rsidRPr="00340F8F" w:rsidRDefault="00487971" w:rsidP="00407D16">
            <w:pPr>
              <w:spacing w:line="360" w:lineRule="auto"/>
              <w:rPr>
                <w:rFonts w:ascii="Arial" w:hAnsi="Arial" w:cs="Arial"/>
                <w:i/>
                <w:iCs/>
                <w:szCs w:val="24"/>
              </w:rPr>
            </w:pPr>
            <w:r w:rsidRPr="00340F8F">
              <w:rPr>
                <w:rFonts w:ascii="Arial" w:hAnsi="Arial" w:cs="Arial"/>
                <w:i/>
                <w:iCs/>
                <w:szCs w:val="24"/>
              </w:rPr>
              <w:t>Runx2</w:t>
            </w:r>
          </w:p>
        </w:tc>
        <w:tc>
          <w:tcPr>
            <w:tcW w:w="0" w:type="auto"/>
            <w:vAlign w:val="center"/>
            <w:hideMark/>
          </w:tcPr>
          <w:p w14:paraId="6E0C2DE4" w14:textId="6ACBDE83"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Akshaya et al. 2022</w:t>
            </w:r>
            <w:r w:rsidR="00B62418" w:rsidRPr="00B62418">
              <w:rPr>
                <w:rFonts w:ascii="Arial" w:hAnsi="Arial" w:cs="Arial"/>
                <w:szCs w:val="24"/>
                <w:vertAlign w:val="superscript"/>
              </w:rPr>
              <w:t>45</w:t>
            </w:r>
          </w:p>
        </w:tc>
      </w:tr>
      <w:tr w:rsidR="00487971" w:rsidRPr="000C1079" w14:paraId="68CE4FE3"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77E2CB" w14:textId="108F7A4B" w:rsidR="00487971" w:rsidRPr="00340F8F" w:rsidRDefault="00487971" w:rsidP="00407D16">
            <w:pPr>
              <w:spacing w:line="360" w:lineRule="auto"/>
              <w:rPr>
                <w:rFonts w:ascii="Arial" w:hAnsi="Arial" w:cs="Arial"/>
                <w:i/>
                <w:iCs/>
                <w:szCs w:val="24"/>
              </w:rPr>
            </w:pPr>
            <w:r w:rsidRPr="00340F8F">
              <w:rPr>
                <w:rFonts w:ascii="Arial" w:hAnsi="Arial" w:cs="Arial"/>
                <w:i/>
                <w:iCs/>
                <w:szCs w:val="24"/>
              </w:rPr>
              <w:t>Pfn2</w:t>
            </w:r>
          </w:p>
        </w:tc>
        <w:tc>
          <w:tcPr>
            <w:tcW w:w="0" w:type="auto"/>
            <w:vAlign w:val="center"/>
            <w:hideMark/>
          </w:tcPr>
          <w:p w14:paraId="7C4471CA" w14:textId="10F1F19E"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proofErr w:type="spellStart"/>
            <w:r w:rsidRPr="000C1079">
              <w:rPr>
                <w:rFonts w:ascii="Arial" w:hAnsi="Arial" w:cs="Arial"/>
                <w:szCs w:val="24"/>
              </w:rPr>
              <w:t>Sangokoya</w:t>
            </w:r>
            <w:proofErr w:type="spellEnd"/>
            <w:r w:rsidRPr="000C1079">
              <w:rPr>
                <w:rFonts w:ascii="Arial" w:hAnsi="Arial" w:cs="Arial"/>
                <w:szCs w:val="24"/>
              </w:rPr>
              <w:t xml:space="preserve"> and </w:t>
            </w:r>
            <w:proofErr w:type="spellStart"/>
            <w:r w:rsidRPr="000C1079">
              <w:rPr>
                <w:rFonts w:ascii="Arial" w:hAnsi="Arial" w:cs="Arial"/>
                <w:szCs w:val="24"/>
              </w:rPr>
              <w:t>Blelloch</w:t>
            </w:r>
            <w:proofErr w:type="spellEnd"/>
            <w:r w:rsidRPr="000C1079">
              <w:rPr>
                <w:rFonts w:ascii="Arial" w:hAnsi="Arial" w:cs="Arial"/>
                <w:szCs w:val="24"/>
              </w:rPr>
              <w:t xml:space="preserve"> 2020</w:t>
            </w:r>
            <w:r w:rsidR="00B62418" w:rsidRPr="00B62418">
              <w:rPr>
                <w:rFonts w:ascii="Arial" w:hAnsi="Arial" w:cs="Arial"/>
                <w:szCs w:val="24"/>
                <w:vertAlign w:val="superscript"/>
              </w:rPr>
              <w:t>46</w:t>
            </w:r>
          </w:p>
        </w:tc>
      </w:tr>
      <w:tr w:rsidR="00487971" w:rsidRPr="000C1079" w14:paraId="23E72B1F"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DB9AE5" w14:textId="0D154FED" w:rsidR="00487971" w:rsidRPr="00340F8F" w:rsidRDefault="00487971" w:rsidP="00407D16">
            <w:pPr>
              <w:spacing w:line="360" w:lineRule="auto"/>
              <w:rPr>
                <w:rFonts w:ascii="Arial" w:hAnsi="Arial" w:cs="Arial"/>
                <w:i/>
                <w:iCs/>
                <w:szCs w:val="24"/>
              </w:rPr>
            </w:pPr>
            <w:r w:rsidRPr="00340F8F">
              <w:rPr>
                <w:rFonts w:ascii="Arial" w:hAnsi="Arial" w:cs="Arial"/>
                <w:i/>
                <w:iCs/>
                <w:szCs w:val="24"/>
              </w:rPr>
              <w:t>Atg5</w:t>
            </w:r>
          </w:p>
        </w:tc>
        <w:tc>
          <w:tcPr>
            <w:tcW w:w="0" w:type="auto"/>
            <w:noWrap/>
            <w:vAlign w:val="center"/>
            <w:hideMark/>
          </w:tcPr>
          <w:p w14:paraId="7CD21E73" w14:textId="0986FFF0"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Lu et al. 2019</w:t>
            </w:r>
            <w:r w:rsidR="00B62418" w:rsidRPr="00B62418">
              <w:rPr>
                <w:rFonts w:ascii="Arial" w:hAnsi="Arial" w:cs="Arial"/>
                <w:szCs w:val="24"/>
                <w:vertAlign w:val="superscript"/>
              </w:rPr>
              <w:t>47</w:t>
            </w:r>
          </w:p>
        </w:tc>
      </w:tr>
      <w:tr w:rsidR="00487971" w:rsidRPr="000C1079" w14:paraId="62C2A021"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6E1C26" w14:textId="39AE6D65" w:rsidR="00487971" w:rsidRPr="00340F8F" w:rsidRDefault="00487971" w:rsidP="00407D16">
            <w:pPr>
              <w:spacing w:line="360" w:lineRule="auto"/>
              <w:rPr>
                <w:rFonts w:ascii="Arial" w:hAnsi="Arial" w:cs="Arial"/>
                <w:i/>
                <w:iCs/>
                <w:szCs w:val="24"/>
              </w:rPr>
            </w:pPr>
            <w:r w:rsidRPr="00340F8F">
              <w:rPr>
                <w:rFonts w:ascii="Arial" w:hAnsi="Arial" w:cs="Arial"/>
                <w:i/>
                <w:iCs/>
                <w:szCs w:val="24"/>
              </w:rPr>
              <w:t>Becn1</w:t>
            </w:r>
          </w:p>
        </w:tc>
        <w:tc>
          <w:tcPr>
            <w:tcW w:w="0" w:type="auto"/>
            <w:vAlign w:val="center"/>
            <w:hideMark/>
          </w:tcPr>
          <w:p w14:paraId="793AE07A" w14:textId="42EFE60A" w:rsidR="00487971" w:rsidRPr="000C1079" w:rsidRDefault="00B62418"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Lu et al. 2019</w:t>
            </w:r>
            <w:r w:rsidRPr="00B62418">
              <w:rPr>
                <w:rFonts w:ascii="Arial" w:hAnsi="Arial" w:cs="Arial"/>
                <w:szCs w:val="24"/>
                <w:vertAlign w:val="superscript"/>
              </w:rPr>
              <w:t>47</w:t>
            </w:r>
          </w:p>
        </w:tc>
      </w:tr>
      <w:tr w:rsidR="00487971" w:rsidRPr="000C1079" w14:paraId="02F88967"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85FCE9" w14:textId="7D97F556" w:rsidR="00487971" w:rsidRPr="00340F8F" w:rsidRDefault="00487971" w:rsidP="00407D16">
            <w:pPr>
              <w:spacing w:line="360" w:lineRule="auto"/>
              <w:rPr>
                <w:rFonts w:ascii="Arial" w:hAnsi="Arial" w:cs="Arial"/>
                <w:i/>
                <w:iCs/>
                <w:szCs w:val="24"/>
              </w:rPr>
            </w:pPr>
            <w:r w:rsidRPr="00340F8F">
              <w:rPr>
                <w:rFonts w:ascii="Arial" w:hAnsi="Arial" w:cs="Arial"/>
                <w:i/>
                <w:iCs/>
                <w:szCs w:val="24"/>
              </w:rPr>
              <w:t>Mbnl1</w:t>
            </w:r>
          </w:p>
        </w:tc>
        <w:tc>
          <w:tcPr>
            <w:tcW w:w="0" w:type="auto"/>
            <w:vAlign w:val="center"/>
            <w:hideMark/>
          </w:tcPr>
          <w:p w14:paraId="32445834" w14:textId="3FA08861" w:rsidR="00487971" w:rsidRPr="000C1079" w:rsidRDefault="00487971"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Wu et al. 2018</w:t>
            </w:r>
            <w:r w:rsidR="00B62418" w:rsidRPr="00B62418">
              <w:rPr>
                <w:rFonts w:ascii="Arial" w:hAnsi="Arial" w:cs="Arial"/>
                <w:szCs w:val="24"/>
                <w:vertAlign w:val="superscript"/>
              </w:rPr>
              <w:t>48</w:t>
            </w:r>
          </w:p>
        </w:tc>
      </w:tr>
      <w:tr w:rsidR="00487971" w:rsidRPr="000C1079" w14:paraId="3EB2A5F1" w14:textId="77777777" w:rsidTr="00407D16">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BBE4F9" w14:textId="4E2E8976" w:rsidR="00487971" w:rsidRPr="00340F8F" w:rsidRDefault="00487971" w:rsidP="00407D16">
            <w:pPr>
              <w:spacing w:line="360" w:lineRule="auto"/>
              <w:rPr>
                <w:rFonts w:ascii="Arial" w:hAnsi="Arial" w:cs="Arial"/>
                <w:i/>
                <w:iCs/>
                <w:szCs w:val="24"/>
              </w:rPr>
            </w:pPr>
            <w:r w:rsidRPr="00340F8F">
              <w:rPr>
                <w:rFonts w:ascii="Arial" w:hAnsi="Arial" w:cs="Arial"/>
                <w:i/>
                <w:iCs/>
                <w:szCs w:val="24"/>
              </w:rPr>
              <w:t>Mbnl2</w:t>
            </w:r>
          </w:p>
        </w:tc>
        <w:tc>
          <w:tcPr>
            <w:tcW w:w="0" w:type="auto"/>
            <w:vAlign w:val="center"/>
            <w:hideMark/>
          </w:tcPr>
          <w:p w14:paraId="2A4BF2E9" w14:textId="7F2AE80C" w:rsidR="00487971" w:rsidRPr="000C1079" w:rsidRDefault="00B62418" w:rsidP="00407D1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0C1079">
              <w:rPr>
                <w:rFonts w:ascii="Arial" w:hAnsi="Arial" w:cs="Arial"/>
                <w:szCs w:val="24"/>
              </w:rPr>
              <w:t>Wu et al. 2018</w:t>
            </w:r>
            <w:r w:rsidRPr="00B62418">
              <w:rPr>
                <w:rFonts w:ascii="Arial" w:hAnsi="Arial" w:cs="Arial"/>
                <w:szCs w:val="24"/>
                <w:vertAlign w:val="superscript"/>
              </w:rPr>
              <w:t>48</w:t>
            </w:r>
          </w:p>
        </w:tc>
      </w:tr>
    </w:tbl>
    <w:p w14:paraId="6E48BE04" w14:textId="36358804" w:rsidR="000F404A" w:rsidRDefault="000F404A" w:rsidP="000F404A">
      <w:pPr>
        <w:widowControl/>
        <w:suppressAutoHyphens w:val="0"/>
        <w:rPr>
          <w:rFonts w:ascii="Arial" w:hAnsi="Arial" w:cs="Arial"/>
        </w:rPr>
      </w:pPr>
      <w:r>
        <w:rPr>
          <w:rFonts w:ascii="Arial" w:hAnsi="Arial" w:cs="Arial"/>
        </w:rPr>
        <w:br w:type="page"/>
      </w:r>
      <w:r w:rsidR="002F2C02">
        <w:rPr>
          <w:rFonts w:ascii="Arial" w:hAnsi="Arial" w:cs="Arial"/>
          <w:noProof/>
          <w14:ligatures w14:val="standardContextual"/>
        </w:rPr>
        <w:lastRenderedPageBreak/>
        <w:drawing>
          <wp:inline distT="0" distB="0" distL="0" distR="0" wp14:anchorId="17C31A08" wp14:editId="0CEA6C61">
            <wp:extent cx="5941593" cy="2771480"/>
            <wp:effectExtent l="0" t="0" r="2540" b="0"/>
            <wp:docPr id="1471977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77402" name="Picture 1471977402"/>
                    <pic:cNvPicPr/>
                  </pic:nvPicPr>
                  <pic:blipFill rotWithShape="1">
                    <a:blip r:embed="rId4">
                      <a:extLst>
                        <a:ext uri="{28A0092B-C50C-407E-A947-70E740481C1C}">
                          <a14:useLocalDpi xmlns:a14="http://schemas.microsoft.com/office/drawing/2010/main" val="0"/>
                        </a:ext>
                      </a:extLst>
                    </a:blip>
                    <a:srcRect b="65015"/>
                    <a:stretch/>
                  </pic:blipFill>
                  <pic:spPr bwMode="auto">
                    <a:xfrm>
                      <a:off x="0" y="0"/>
                      <a:ext cx="5943600" cy="2772416"/>
                    </a:xfrm>
                    <a:prstGeom prst="rect">
                      <a:avLst/>
                    </a:prstGeom>
                    <a:ln>
                      <a:noFill/>
                    </a:ln>
                    <a:extLst>
                      <a:ext uri="{53640926-AAD7-44D8-BBD7-CCE9431645EC}">
                        <a14:shadowObscured xmlns:a14="http://schemas.microsoft.com/office/drawing/2010/main"/>
                      </a:ext>
                    </a:extLst>
                  </pic:spPr>
                </pic:pic>
              </a:graphicData>
            </a:graphic>
          </wp:inline>
        </w:drawing>
      </w:r>
    </w:p>
    <w:p w14:paraId="1A4F6503" w14:textId="28B28BD7" w:rsidR="002F2C02" w:rsidRDefault="002F2C02" w:rsidP="00A56494">
      <w:pPr>
        <w:widowControl/>
        <w:suppressAutoHyphens w:val="0"/>
        <w:spacing w:line="480" w:lineRule="auto"/>
        <w:jc w:val="both"/>
        <w:rPr>
          <w:rFonts w:ascii="Arial" w:hAnsi="Arial" w:cs="Arial"/>
          <w:szCs w:val="24"/>
          <w:highlight w:val="yellow"/>
        </w:rPr>
      </w:pPr>
      <w:r w:rsidRPr="00422FAD">
        <w:rPr>
          <w:rFonts w:ascii="Arial" w:hAnsi="Arial" w:cs="Arial"/>
          <w:b/>
          <w:bCs/>
        </w:rPr>
        <w:t xml:space="preserve">Supplemental Figure </w:t>
      </w:r>
      <w:r>
        <w:rPr>
          <w:rFonts w:ascii="Arial" w:hAnsi="Arial" w:cs="Arial"/>
          <w:b/>
          <w:bCs/>
        </w:rPr>
        <w:t>1</w:t>
      </w:r>
      <w:r w:rsidRPr="00422FAD">
        <w:rPr>
          <w:rFonts w:ascii="Arial" w:hAnsi="Arial" w:cs="Arial"/>
          <w:b/>
          <w:bCs/>
        </w:rPr>
        <w:t>.</w:t>
      </w:r>
      <w:r w:rsidRPr="0068599C">
        <w:rPr>
          <w:rFonts w:ascii="Arial" w:hAnsi="Arial" w:cs="Arial"/>
        </w:rPr>
        <w:t xml:space="preserve"> </w:t>
      </w:r>
      <w:r>
        <w:rPr>
          <w:rFonts w:ascii="Arial" w:hAnsi="Arial" w:cs="Arial"/>
        </w:rPr>
        <w:t xml:space="preserve">Homology of the miR-371-373/miR-290-295 cluster family. Mouse </w:t>
      </w:r>
      <w:r w:rsidRPr="002F2C02">
        <w:rPr>
          <w:rFonts w:ascii="Arial" w:hAnsi="Arial" w:cs="Arial"/>
          <w:szCs w:val="24"/>
        </w:rPr>
        <w:t xml:space="preserve">miR-291a-3p is homologous to human miR-372-3p and </w:t>
      </w:r>
      <w:r>
        <w:rPr>
          <w:rFonts w:ascii="Arial" w:hAnsi="Arial" w:cs="Arial"/>
          <w:szCs w:val="24"/>
        </w:rPr>
        <w:t>miR-</w:t>
      </w:r>
      <w:r w:rsidRPr="002F2C02">
        <w:rPr>
          <w:rFonts w:ascii="Arial" w:hAnsi="Arial" w:cs="Arial"/>
          <w:szCs w:val="24"/>
        </w:rPr>
        <w:t>373-3p</w:t>
      </w:r>
      <w:r>
        <w:rPr>
          <w:rFonts w:ascii="Arial" w:hAnsi="Arial" w:cs="Arial"/>
          <w:szCs w:val="24"/>
        </w:rPr>
        <w:t>,</w:t>
      </w:r>
      <w:r w:rsidRPr="002F2C02">
        <w:rPr>
          <w:rFonts w:ascii="Arial" w:hAnsi="Arial" w:cs="Arial"/>
          <w:szCs w:val="24"/>
        </w:rPr>
        <w:t xml:space="preserve"> </w:t>
      </w:r>
      <w:r>
        <w:rPr>
          <w:rFonts w:ascii="Arial" w:hAnsi="Arial" w:cs="Arial"/>
          <w:szCs w:val="24"/>
        </w:rPr>
        <w:t xml:space="preserve">whereas </w:t>
      </w:r>
      <w:r w:rsidRPr="002F2C02">
        <w:rPr>
          <w:rFonts w:ascii="Arial" w:hAnsi="Arial" w:cs="Arial"/>
          <w:szCs w:val="24"/>
        </w:rPr>
        <w:t>miR-292-3p and miR-293 are homologous to different isoforms of human miR-371a-3p</w:t>
      </w:r>
      <w:r>
        <w:rPr>
          <w:rFonts w:ascii="Arial" w:hAnsi="Arial" w:cs="Arial"/>
          <w:szCs w:val="24"/>
        </w:rPr>
        <w:t>.</w:t>
      </w:r>
    </w:p>
    <w:p w14:paraId="102D1060" w14:textId="77777777" w:rsidR="002F2C02" w:rsidRDefault="002F2C02">
      <w:pPr>
        <w:widowControl/>
        <w:suppressAutoHyphens w:val="0"/>
        <w:rPr>
          <w:rFonts w:ascii="Arial" w:hAnsi="Arial" w:cs="Arial"/>
          <w:szCs w:val="24"/>
          <w:highlight w:val="yellow"/>
        </w:rPr>
      </w:pPr>
      <w:r>
        <w:rPr>
          <w:rFonts w:ascii="Arial" w:hAnsi="Arial" w:cs="Arial"/>
          <w:szCs w:val="24"/>
          <w:highlight w:val="yellow"/>
        </w:rPr>
        <w:br w:type="page"/>
      </w:r>
    </w:p>
    <w:p w14:paraId="41CA4086" w14:textId="77777777" w:rsidR="002F2C02" w:rsidRDefault="002F2C02">
      <w:pPr>
        <w:widowControl/>
        <w:suppressAutoHyphens w:val="0"/>
        <w:rPr>
          <w:rFonts w:ascii="Arial" w:hAnsi="Arial" w:cs="Arial"/>
          <w:b/>
          <w:bCs/>
        </w:rPr>
      </w:pPr>
    </w:p>
    <w:p w14:paraId="1F718F2F" w14:textId="137F6B98" w:rsidR="00422FAD" w:rsidRDefault="002F2C02" w:rsidP="00781C06">
      <w:pPr>
        <w:pStyle w:val="Index"/>
        <w:jc w:val="center"/>
        <w:rPr>
          <w:rFonts w:ascii="Arial" w:hAnsi="Arial" w:cs="Arial"/>
          <w:b/>
          <w:bCs/>
        </w:rPr>
      </w:pPr>
      <w:r>
        <w:rPr>
          <w:rFonts w:ascii="Arial" w:hAnsi="Arial" w:cs="Arial"/>
          <w:b/>
          <w:bCs/>
          <w:noProof/>
          <w14:ligatures w14:val="standardContextual"/>
        </w:rPr>
        <w:drawing>
          <wp:inline distT="0" distB="0" distL="0" distR="0" wp14:anchorId="1ECFCA72" wp14:editId="7D6C2D11">
            <wp:extent cx="5943600" cy="3693459"/>
            <wp:effectExtent l="0" t="0" r="0" b="2540"/>
            <wp:docPr id="11585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90522" name="Picture 1158590522"/>
                    <pic:cNvPicPr/>
                  </pic:nvPicPr>
                  <pic:blipFill rotWithShape="1">
                    <a:blip r:embed="rId5">
                      <a:extLst>
                        <a:ext uri="{28A0092B-C50C-407E-A947-70E740481C1C}">
                          <a14:useLocalDpi xmlns:a14="http://schemas.microsoft.com/office/drawing/2010/main" val="0"/>
                        </a:ext>
                      </a:extLst>
                    </a:blip>
                    <a:srcRect b="53394"/>
                    <a:stretch/>
                  </pic:blipFill>
                  <pic:spPr bwMode="auto">
                    <a:xfrm>
                      <a:off x="0" y="0"/>
                      <a:ext cx="5943600" cy="3693459"/>
                    </a:xfrm>
                    <a:prstGeom prst="rect">
                      <a:avLst/>
                    </a:prstGeom>
                    <a:ln>
                      <a:noFill/>
                    </a:ln>
                    <a:extLst>
                      <a:ext uri="{53640926-AAD7-44D8-BBD7-CCE9431645EC}">
                        <a14:shadowObscured xmlns:a14="http://schemas.microsoft.com/office/drawing/2010/main"/>
                      </a:ext>
                    </a:extLst>
                  </pic:spPr>
                </pic:pic>
              </a:graphicData>
            </a:graphic>
          </wp:inline>
        </w:drawing>
      </w:r>
    </w:p>
    <w:p w14:paraId="195C0084" w14:textId="101893E0" w:rsidR="00422FAD" w:rsidRPr="00715FFF" w:rsidRDefault="00422FAD" w:rsidP="00D26B5A">
      <w:pPr>
        <w:pStyle w:val="Index"/>
        <w:suppressLineNumbers w:val="0"/>
        <w:rPr>
          <w:rFonts w:ascii="Arial" w:hAnsi="Arial" w:cs="Arial"/>
        </w:rPr>
      </w:pPr>
    </w:p>
    <w:p w14:paraId="741356B2" w14:textId="2A77B78E" w:rsidR="0068599C" w:rsidRPr="0068599C" w:rsidRDefault="003B6C48" w:rsidP="00A56494">
      <w:pPr>
        <w:pStyle w:val="Index"/>
        <w:suppressLineNumbers w:val="0"/>
        <w:spacing w:line="480" w:lineRule="auto"/>
        <w:jc w:val="both"/>
        <w:rPr>
          <w:rFonts w:ascii="Arial" w:hAnsi="Arial" w:cs="Arial"/>
          <w:szCs w:val="24"/>
        </w:rPr>
      </w:pPr>
      <w:r w:rsidRPr="00422FAD">
        <w:rPr>
          <w:rFonts w:ascii="Arial" w:hAnsi="Arial" w:cs="Arial"/>
          <w:b/>
          <w:bCs/>
        </w:rPr>
        <w:t xml:space="preserve">Supplemental Figure </w:t>
      </w:r>
      <w:r w:rsidR="002F2C02">
        <w:rPr>
          <w:rFonts w:ascii="Arial" w:hAnsi="Arial" w:cs="Arial"/>
          <w:b/>
          <w:bCs/>
        </w:rPr>
        <w:t>2</w:t>
      </w:r>
      <w:r w:rsidRPr="00422FAD">
        <w:rPr>
          <w:rFonts w:ascii="Arial" w:hAnsi="Arial" w:cs="Arial"/>
          <w:b/>
          <w:bCs/>
        </w:rPr>
        <w:t>.</w:t>
      </w:r>
      <w:r w:rsidRPr="0068599C">
        <w:rPr>
          <w:rFonts w:ascii="Arial" w:hAnsi="Arial" w:cs="Arial"/>
        </w:rPr>
        <w:t xml:space="preserve"> </w:t>
      </w:r>
      <w:r w:rsidR="0068599C" w:rsidRPr="0068599C">
        <w:rPr>
          <w:rFonts w:ascii="Arial" w:hAnsi="Arial" w:cs="Arial"/>
          <w:szCs w:val="24"/>
        </w:rPr>
        <w:t>Volcano plots of 2</w:t>
      </w:r>
      <w:r w:rsidR="007B6C6C">
        <w:rPr>
          <w:rFonts w:ascii="Arial" w:hAnsi="Arial" w:cs="Arial"/>
          <w:szCs w:val="24"/>
        </w:rPr>
        <w:t>6</w:t>
      </w:r>
      <w:r w:rsidR="0068599C" w:rsidRPr="0068599C">
        <w:rPr>
          <w:rFonts w:ascii="Arial" w:hAnsi="Arial" w:cs="Arial"/>
          <w:szCs w:val="24"/>
        </w:rPr>
        <w:t xml:space="preserve"> experimentally proven direct target genes of the miR-290-295 cluster (see</w:t>
      </w:r>
      <w:r w:rsidR="00422FAD">
        <w:rPr>
          <w:rFonts w:ascii="Arial" w:hAnsi="Arial" w:cs="Arial"/>
          <w:szCs w:val="24"/>
        </w:rPr>
        <w:t xml:space="preserve"> Supplemental</w:t>
      </w:r>
      <w:r w:rsidR="0068599C" w:rsidRPr="0068599C">
        <w:rPr>
          <w:rFonts w:ascii="Arial" w:hAnsi="Arial" w:cs="Arial"/>
          <w:szCs w:val="24"/>
        </w:rPr>
        <w:t xml:space="preserve"> Table 1). Genes that are significantly upregulated in TR-differentiated cells are in </w:t>
      </w:r>
      <w:r w:rsidR="00781C06">
        <w:rPr>
          <w:rFonts w:ascii="Arial" w:hAnsi="Arial" w:cs="Arial"/>
          <w:szCs w:val="24"/>
        </w:rPr>
        <w:t>red</w:t>
      </w:r>
      <w:r w:rsidR="0068599C" w:rsidRPr="0068599C">
        <w:rPr>
          <w:rFonts w:ascii="Arial" w:hAnsi="Arial" w:cs="Arial"/>
          <w:szCs w:val="24"/>
        </w:rPr>
        <w:t xml:space="preserve">, genes that are significantly downregulated in TR-differentiated cells are in </w:t>
      </w:r>
      <w:r w:rsidR="00781C06">
        <w:rPr>
          <w:rFonts w:ascii="Arial" w:hAnsi="Arial" w:cs="Arial"/>
          <w:szCs w:val="24"/>
        </w:rPr>
        <w:t>blue</w:t>
      </w:r>
      <w:r w:rsidR="0068599C" w:rsidRPr="0068599C">
        <w:rPr>
          <w:rFonts w:ascii="Arial" w:hAnsi="Arial" w:cs="Arial"/>
          <w:szCs w:val="24"/>
        </w:rPr>
        <w:t xml:space="preserve">, and genes that are not significantly differentially expressed between the cells are in </w:t>
      </w:r>
      <w:r w:rsidR="00781C06">
        <w:rPr>
          <w:rFonts w:ascii="Arial" w:hAnsi="Arial" w:cs="Arial"/>
          <w:szCs w:val="24"/>
        </w:rPr>
        <w:t>grey</w:t>
      </w:r>
      <w:r w:rsidR="0068599C" w:rsidRPr="0068599C">
        <w:rPr>
          <w:rFonts w:ascii="Arial" w:hAnsi="Arial" w:cs="Arial"/>
          <w:szCs w:val="24"/>
        </w:rPr>
        <w:t>. Significance is defined as an adjusted p value (</w:t>
      </w:r>
      <w:proofErr w:type="spellStart"/>
      <w:r w:rsidR="0068599C" w:rsidRPr="0068599C">
        <w:rPr>
          <w:rFonts w:ascii="Arial" w:hAnsi="Arial" w:cs="Arial"/>
          <w:szCs w:val="24"/>
        </w:rPr>
        <w:t>padj</w:t>
      </w:r>
      <w:proofErr w:type="spellEnd"/>
      <w:r w:rsidR="0068599C" w:rsidRPr="0068599C">
        <w:rPr>
          <w:rFonts w:ascii="Arial" w:hAnsi="Arial" w:cs="Arial"/>
          <w:szCs w:val="24"/>
        </w:rPr>
        <w:t xml:space="preserve">) &lt; 0.05. </w:t>
      </w:r>
    </w:p>
    <w:p w14:paraId="0C0F203A" w14:textId="6F052F3C" w:rsidR="0035245D" w:rsidRDefault="0035245D">
      <w:pPr>
        <w:widowControl/>
        <w:suppressAutoHyphens w:val="0"/>
      </w:pPr>
      <w:r>
        <w:br w:type="page"/>
      </w:r>
    </w:p>
    <w:p w14:paraId="34F1FCD8" w14:textId="0892D45F" w:rsidR="000F404A" w:rsidRDefault="0035245D">
      <w:r>
        <w:rPr>
          <w:noProof/>
          <w14:ligatures w14:val="standardContextual"/>
        </w:rPr>
        <w:lastRenderedPageBreak/>
        <w:drawing>
          <wp:anchor distT="0" distB="0" distL="114300" distR="114300" simplePos="0" relativeHeight="251659264" behindDoc="0" locked="0" layoutInCell="1" allowOverlap="1" wp14:anchorId="03E9F62A" wp14:editId="14201FD7">
            <wp:simplePos x="0" y="0"/>
            <wp:positionH relativeFrom="column">
              <wp:posOffset>-10160</wp:posOffset>
            </wp:positionH>
            <wp:positionV relativeFrom="paragraph">
              <wp:posOffset>0</wp:posOffset>
            </wp:positionV>
            <wp:extent cx="5689600" cy="2082800"/>
            <wp:effectExtent l="0" t="0" r="0" b="0"/>
            <wp:wrapTopAndBottom/>
            <wp:docPr id="32717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3336" name="Picture 327173336"/>
                    <pic:cNvPicPr/>
                  </pic:nvPicPr>
                  <pic:blipFill>
                    <a:blip r:embed="rId6">
                      <a:extLst>
                        <a:ext uri="{28A0092B-C50C-407E-A947-70E740481C1C}">
                          <a14:useLocalDpi xmlns:a14="http://schemas.microsoft.com/office/drawing/2010/main" val="0"/>
                        </a:ext>
                      </a:extLst>
                    </a:blip>
                    <a:stretch>
                      <a:fillRect/>
                    </a:stretch>
                  </pic:blipFill>
                  <pic:spPr>
                    <a:xfrm>
                      <a:off x="0" y="0"/>
                      <a:ext cx="5689600" cy="2082800"/>
                    </a:xfrm>
                    <a:prstGeom prst="rect">
                      <a:avLst/>
                    </a:prstGeom>
                  </pic:spPr>
                </pic:pic>
              </a:graphicData>
            </a:graphic>
          </wp:anchor>
        </w:drawing>
      </w:r>
    </w:p>
    <w:p w14:paraId="6D796106" w14:textId="253A6D16" w:rsidR="0035245D" w:rsidRDefault="0035245D" w:rsidP="00A56494">
      <w:pPr>
        <w:spacing w:line="480" w:lineRule="auto"/>
        <w:jc w:val="both"/>
      </w:pPr>
      <w:r w:rsidRPr="00422FAD">
        <w:rPr>
          <w:rFonts w:ascii="Arial" w:hAnsi="Arial" w:cs="Arial"/>
          <w:b/>
          <w:bCs/>
        </w:rPr>
        <w:t xml:space="preserve">Supplemental Figure </w:t>
      </w:r>
      <w:r>
        <w:rPr>
          <w:rFonts w:ascii="Arial" w:hAnsi="Arial" w:cs="Arial"/>
          <w:b/>
          <w:bCs/>
        </w:rPr>
        <w:t>3</w:t>
      </w:r>
      <w:r w:rsidRPr="00422FAD">
        <w:rPr>
          <w:rFonts w:ascii="Arial" w:hAnsi="Arial" w:cs="Arial"/>
          <w:b/>
          <w:bCs/>
        </w:rPr>
        <w:t>.</w:t>
      </w:r>
      <w:r w:rsidRPr="0068599C">
        <w:rPr>
          <w:rFonts w:ascii="Arial" w:hAnsi="Arial" w:cs="Arial"/>
        </w:rPr>
        <w:t xml:space="preserve"> </w:t>
      </w:r>
      <w:r w:rsidRPr="00204031">
        <w:rPr>
          <w:rFonts w:ascii="Arial" w:hAnsi="Arial" w:cs="Arial"/>
          <w:szCs w:val="24"/>
        </w:rPr>
        <w:t>miR-291-293 expression in serum of 14</w:t>
      </w:r>
      <w:r>
        <w:rPr>
          <w:rFonts w:ascii="Arial" w:hAnsi="Arial" w:cs="Arial"/>
          <w:szCs w:val="24"/>
        </w:rPr>
        <w:t>-</w:t>
      </w:r>
      <w:r w:rsidRPr="00204031">
        <w:rPr>
          <w:rFonts w:ascii="Arial" w:hAnsi="Arial" w:cs="Arial"/>
          <w:szCs w:val="24"/>
        </w:rPr>
        <w:t xml:space="preserve"> to 16</w:t>
      </w:r>
      <w:r>
        <w:rPr>
          <w:rFonts w:ascii="Arial" w:hAnsi="Arial" w:cs="Arial"/>
          <w:szCs w:val="24"/>
        </w:rPr>
        <w:t>-</w:t>
      </w:r>
      <w:r w:rsidRPr="00204031">
        <w:rPr>
          <w:rFonts w:ascii="Arial" w:hAnsi="Arial" w:cs="Arial"/>
          <w:szCs w:val="24"/>
        </w:rPr>
        <w:t xml:space="preserve">day old </w:t>
      </w:r>
      <w:r>
        <w:rPr>
          <w:rFonts w:ascii="Arial" w:hAnsi="Arial" w:cs="Arial"/>
          <w:szCs w:val="24"/>
        </w:rPr>
        <w:t xml:space="preserve">mice </w:t>
      </w:r>
      <w:r w:rsidRPr="00204031">
        <w:rPr>
          <w:rFonts w:ascii="Arial" w:hAnsi="Arial" w:cs="Arial"/>
          <w:szCs w:val="24"/>
        </w:rPr>
        <w:t>and at endpoint</w:t>
      </w:r>
      <w:r>
        <w:rPr>
          <w:rFonts w:ascii="Arial" w:hAnsi="Arial" w:cs="Arial"/>
          <w:szCs w:val="24"/>
        </w:rPr>
        <w:t>. S</w:t>
      </w:r>
      <w:r w:rsidRPr="00204031">
        <w:rPr>
          <w:rFonts w:ascii="Arial" w:hAnsi="Arial" w:cs="Arial"/>
          <w:szCs w:val="24"/>
        </w:rPr>
        <w:t>amples from the same mouse are connected by a line.</w:t>
      </w:r>
    </w:p>
    <w:p w14:paraId="6E6181EA" w14:textId="77777777" w:rsidR="0035245D" w:rsidRDefault="0035245D" w:rsidP="0035245D">
      <w:pPr>
        <w:jc w:val="both"/>
      </w:pPr>
    </w:p>
    <w:sectPr w:rsidR="0035245D" w:rsidSect="00B5567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4A"/>
    <w:rsid w:val="000F404A"/>
    <w:rsid w:val="001B6B3C"/>
    <w:rsid w:val="002E4FCC"/>
    <w:rsid w:val="002E71BE"/>
    <w:rsid w:val="002F2C02"/>
    <w:rsid w:val="0035245D"/>
    <w:rsid w:val="00372467"/>
    <w:rsid w:val="003B6C48"/>
    <w:rsid w:val="00422FAD"/>
    <w:rsid w:val="00433B1B"/>
    <w:rsid w:val="00487971"/>
    <w:rsid w:val="005A481E"/>
    <w:rsid w:val="00607A6A"/>
    <w:rsid w:val="00611E30"/>
    <w:rsid w:val="00636DB7"/>
    <w:rsid w:val="0068599C"/>
    <w:rsid w:val="00715FFF"/>
    <w:rsid w:val="00781C06"/>
    <w:rsid w:val="007B6C6C"/>
    <w:rsid w:val="008D1C70"/>
    <w:rsid w:val="00A56494"/>
    <w:rsid w:val="00B14ACC"/>
    <w:rsid w:val="00B22AC2"/>
    <w:rsid w:val="00B5567C"/>
    <w:rsid w:val="00B62418"/>
    <w:rsid w:val="00D26B5A"/>
    <w:rsid w:val="00DA3E09"/>
    <w:rsid w:val="00E97E4A"/>
    <w:rsid w:val="00FB2BAC"/>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7E87DD"/>
  <w15:chartTrackingRefBased/>
  <w15:docId w15:val="{FB5FC7F0-041A-3C40-8D7C-3B597EC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4A"/>
    <w:pPr>
      <w:widowControl w:val="0"/>
      <w:suppressAutoHyphens/>
    </w:pPr>
    <w:rPr>
      <w:rFonts w:ascii="Times" w:eastAsia="Times" w:hAnsi="Times" w:cs="Times"/>
      <w:kern w:val="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rsid w:val="000F404A"/>
    <w:rPr>
      <w:rFonts w:cs="Tahoma"/>
    </w:rPr>
  </w:style>
  <w:style w:type="table" w:styleId="GridTable1Light">
    <w:name w:val="Grid Table 1 Light"/>
    <w:basedOn w:val="TableNormal"/>
    <w:uiPriority w:val="46"/>
    <w:rsid w:val="000F404A"/>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F404A"/>
    <w:rPr>
      <w:sz w:val="16"/>
      <w:szCs w:val="16"/>
    </w:rPr>
  </w:style>
  <w:style w:type="paragraph" w:styleId="BodyText">
    <w:name w:val="Body Text"/>
    <w:basedOn w:val="Normal"/>
    <w:link w:val="BodyTextChar"/>
    <w:uiPriority w:val="99"/>
    <w:semiHidden/>
    <w:unhideWhenUsed/>
    <w:rsid w:val="000F404A"/>
    <w:pPr>
      <w:spacing w:after="120"/>
    </w:pPr>
  </w:style>
  <w:style w:type="character" w:customStyle="1" w:styleId="BodyTextChar">
    <w:name w:val="Body Text Char"/>
    <w:basedOn w:val="DefaultParagraphFont"/>
    <w:link w:val="BodyText"/>
    <w:uiPriority w:val="99"/>
    <w:semiHidden/>
    <w:rsid w:val="000F404A"/>
    <w:rPr>
      <w:rFonts w:ascii="Times" w:eastAsia="Times" w:hAnsi="Times" w:cs="Times"/>
      <w:kern w:val="0"/>
      <w:szCs w:val="20"/>
      <w:lang w:eastAsia="ar-SA"/>
      <w14:ligatures w14:val="none"/>
    </w:rPr>
  </w:style>
  <w:style w:type="paragraph" w:customStyle="1" w:styleId="Index">
    <w:name w:val="Index"/>
    <w:basedOn w:val="Normal"/>
    <w:rsid w:val="0068599C"/>
    <w:pPr>
      <w:suppressLineNumbers/>
    </w:pPr>
    <w:rPr>
      <w:rFonts w:cs="Tahoma"/>
    </w:rPr>
  </w:style>
  <w:style w:type="paragraph" w:styleId="CommentText">
    <w:name w:val="annotation text"/>
    <w:basedOn w:val="Normal"/>
    <w:link w:val="CommentTextChar"/>
    <w:uiPriority w:val="99"/>
    <w:unhideWhenUsed/>
    <w:rsid w:val="002F2C02"/>
    <w:rPr>
      <w:sz w:val="20"/>
    </w:rPr>
  </w:style>
  <w:style w:type="character" w:customStyle="1" w:styleId="CommentTextChar">
    <w:name w:val="Comment Text Char"/>
    <w:basedOn w:val="DefaultParagraphFont"/>
    <w:link w:val="CommentText"/>
    <w:uiPriority w:val="99"/>
    <w:rsid w:val="002F2C02"/>
    <w:rPr>
      <w:rFonts w:ascii="Times" w:eastAsia="Times" w:hAnsi="Times" w:cs="Times"/>
      <w:kern w:val="0"/>
      <w:sz w:val="20"/>
      <w:szCs w:val="20"/>
      <w:lang w:eastAsia="ar-SA"/>
      <w14:ligatures w14:val="none"/>
    </w:rPr>
  </w:style>
  <w:style w:type="character" w:styleId="Hyperlink">
    <w:name w:val="Hyperlink"/>
    <w:basedOn w:val="DefaultParagraphFont"/>
    <w:uiPriority w:val="99"/>
    <w:unhideWhenUsed/>
    <w:rsid w:val="002F2C02"/>
    <w:rPr>
      <w:color w:val="0000FF"/>
      <w:u w:val="single"/>
    </w:rPr>
  </w:style>
  <w:style w:type="character" w:styleId="LineNumber">
    <w:name w:val="line number"/>
    <w:basedOn w:val="DefaultParagraphFont"/>
    <w:uiPriority w:val="99"/>
    <w:semiHidden/>
    <w:unhideWhenUsed/>
    <w:rsid w:val="00A56494"/>
  </w:style>
  <w:style w:type="paragraph" w:styleId="Revision">
    <w:name w:val="Revision"/>
    <w:hidden/>
    <w:uiPriority w:val="99"/>
    <w:semiHidden/>
    <w:rsid w:val="00B14ACC"/>
    <w:rPr>
      <w:rFonts w:ascii="Times" w:eastAsia="Times" w:hAnsi="Times" w:cs="Times"/>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Rae Loehr</dc:creator>
  <cp:keywords/>
  <dc:description/>
  <cp:lastModifiedBy>Robert S. Weiss</cp:lastModifiedBy>
  <cp:revision>2</cp:revision>
  <cp:lastPrinted>2023-05-20T19:54:00Z</cp:lastPrinted>
  <dcterms:created xsi:type="dcterms:W3CDTF">2024-12-21T20:16:00Z</dcterms:created>
  <dcterms:modified xsi:type="dcterms:W3CDTF">2024-12-21T20:16:00Z</dcterms:modified>
</cp:coreProperties>
</file>